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99" w:rsidRPr="00782192" w:rsidRDefault="003D7D99" w:rsidP="003D7D99">
      <w:pPr>
        <w:pStyle w:val="NormalWeb"/>
        <w:spacing w:after="0"/>
        <w:jc w:val="center"/>
        <w:rPr>
          <w:rFonts w:ascii="Arial" w:hAnsi="Arial" w:cs="Arial"/>
          <w:b/>
          <w:color w:val="C00000"/>
          <w:u w:val="single"/>
        </w:rPr>
      </w:pPr>
      <w:r w:rsidRPr="00782192">
        <w:rPr>
          <w:rFonts w:ascii="Arial" w:hAnsi="Arial" w:cs="Arial"/>
          <w:b/>
          <w:color w:val="C00000"/>
          <w:u w:val="single"/>
        </w:rPr>
        <w:t>Electronic Health Records (EHR) Meaningful Use Stage 2 Final Rule Summary</w:t>
      </w:r>
    </w:p>
    <w:p w:rsidR="003D7D99" w:rsidRPr="00782192" w:rsidRDefault="003D7D99" w:rsidP="003D7D99">
      <w:pPr>
        <w:pStyle w:val="NormalWeb"/>
        <w:spacing w:after="0"/>
        <w:jc w:val="center"/>
        <w:rPr>
          <w:rFonts w:ascii="Arial" w:hAnsi="Arial" w:cs="Arial"/>
          <w:b/>
          <w:color w:val="C00000"/>
          <w:u w:val="single"/>
        </w:rPr>
      </w:pPr>
    </w:p>
    <w:p w:rsidR="00C13964" w:rsidRDefault="003D7D99" w:rsidP="00B73DC2">
      <w:pPr>
        <w:pStyle w:val="NormalWeb"/>
        <w:spacing w:after="0"/>
        <w:rPr>
          <w:rFonts w:ascii="Arial" w:hAnsi="Arial" w:cs="Arial"/>
        </w:rPr>
      </w:pPr>
      <w:r w:rsidRPr="00782192">
        <w:rPr>
          <w:rFonts w:ascii="Arial" w:hAnsi="Arial" w:cs="Arial"/>
        </w:rPr>
        <w:t>On August 23, 2012, the Centers for Medicare &amp; Medicaid Services (CMS) posted the final rule for Stage 2 of the Electronic Health Record (EHR) Meaningful Use</w:t>
      </w:r>
      <w:r w:rsidR="00BC232D">
        <w:rPr>
          <w:rFonts w:ascii="Arial" w:hAnsi="Arial" w:cs="Arial"/>
        </w:rPr>
        <w:t xml:space="preserve"> (MU)</w:t>
      </w:r>
      <w:r w:rsidRPr="00782192">
        <w:rPr>
          <w:rFonts w:ascii="Arial" w:hAnsi="Arial" w:cs="Arial"/>
        </w:rPr>
        <w:t xml:space="preserve"> Incentive Program. </w:t>
      </w:r>
      <w:r w:rsidR="00B73DC2">
        <w:rPr>
          <w:rFonts w:ascii="Arial" w:hAnsi="Arial" w:cs="Arial"/>
        </w:rPr>
        <w:t>The rule includes finalized criteria</w:t>
      </w:r>
      <w:r w:rsidR="00C13964">
        <w:rPr>
          <w:rFonts w:ascii="Arial" w:hAnsi="Arial" w:cs="Arial"/>
        </w:rPr>
        <w:t xml:space="preserve"> for Stage 2 of the Meaningful Use program as well as changes to Stage 1, some of which </w:t>
      </w:r>
      <w:proofErr w:type="gramStart"/>
      <w:r w:rsidR="00C13964">
        <w:rPr>
          <w:rFonts w:ascii="Arial" w:hAnsi="Arial" w:cs="Arial"/>
        </w:rPr>
        <w:t>take</w:t>
      </w:r>
      <w:proofErr w:type="gramEnd"/>
      <w:r w:rsidR="00C13964">
        <w:rPr>
          <w:rFonts w:ascii="Arial" w:hAnsi="Arial" w:cs="Arial"/>
        </w:rPr>
        <w:t xml:space="preserve"> effect in 2013 and are detailed below.</w:t>
      </w:r>
    </w:p>
    <w:p w:rsidR="00C13964" w:rsidRDefault="00C13964" w:rsidP="00B73DC2">
      <w:pPr>
        <w:pStyle w:val="NormalWeb"/>
        <w:spacing w:after="0"/>
        <w:rPr>
          <w:rFonts w:ascii="Arial" w:hAnsi="Arial" w:cs="Arial"/>
        </w:rPr>
      </w:pPr>
    </w:p>
    <w:p w:rsidR="007B303E" w:rsidRDefault="0071760A" w:rsidP="00B73DC2">
      <w:pPr>
        <w:pStyle w:val="NormalWeb"/>
        <w:spacing w:after="0"/>
        <w:rPr>
          <w:rFonts w:ascii="Arial" w:hAnsi="Arial" w:cs="Arial"/>
        </w:rPr>
      </w:pPr>
      <w:r w:rsidRPr="00782192">
        <w:rPr>
          <w:rFonts w:ascii="Arial" w:hAnsi="Arial" w:cs="Arial"/>
        </w:rPr>
        <w:t xml:space="preserve">Stage 2 of the EHR Incentive Program is </w:t>
      </w:r>
      <w:r w:rsidR="00E77871">
        <w:rPr>
          <w:rFonts w:ascii="Arial" w:hAnsi="Arial" w:cs="Arial"/>
        </w:rPr>
        <w:t>scheduled</w:t>
      </w:r>
      <w:r w:rsidR="00E77871" w:rsidRPr="00782192">
        <w:rPr>
          <w:rFonts w:ascii="Arial" w:hAnsi="Arial" w:cs="Arial"/>
        </w:rPr>
        <w:t xml:space="preserve"> </w:t>
      </w:r>
      <w:r w:rsidRPr="00782192">
        <w:rPr>
          <w:rFonts w:ascii="Arial" w:hAnsi="Arial" w:cs="Arial"/>
        </w:rPr>
        <w:t>to begin in 2014</w:t>
      </w:r>
      <w:r w:rsidR="007B303E">
        <w:rPr>
          <w:rFonts w:ascii="Arial" w:hAnsi="Arial" w:cs="Arial"/>
        </w:rPr>
        <w:t xml:space="preserve">. All Eligible Professionals (EPs) will have to participate in Stage 1 for two years </w:t>
      </w:r>
      <w:r w:rsidR="00E77871">
        <w:rPr>
          <w:rFonts w:ascii="Arial" w:hAnsi="Arial" w:cs="Arial"/>
        </w:rPr>
        <w:t xml:space="preserve">prior to </w:t>
      </w:r>
      <w:r w:rsidR="007B303E">
        <w:rPr>
          <w:rFonts w:ascii="Arial" w:hAnsi="Arial" w:cs="Arial"/>
        </w:rPr>
        <w:t>beginning Stage 2, regardless of when they begin participating in Stage 1. For example, if an EP beg</w:t>
      </w:r>
      <w:r w:rsidR="00C13964">
        <w:rPr>
          <w:rFonts w:ascii="Arial" w:hAnsi="Arial" w:cs="Arial"/>
        </w:rPr>
        <w:t>ins Stage 1 in 2013, they will begin participati</w:t>
      </w:r>
      <w:r w:rsidR="00E77871">
        <w:rPr>
          <w:rFonts w:ascii="Arial" w:hAnsi="Arial" w:cs="Arial"/>
        </w:rPr>
        <w:t>on</w:t>
      </w:r>
      <w:r w:rsidR="00C13964">
        <w:rPr>
          <w:rFonts w:ascii="Arial" w:hAnsi="Arial" w:cs="Arial"/>
        </w:rPr>
        <w:t xml:space="preserve"> in Stage 2 in 2015. </w:t>
      </w:r>
    </w:p>
    <w:p w:rsidR="007B303E" w:rsidRDefault="007B303E" w:rsidP="00B73DC2">
      <w:pPr>
        <w:pStyle w:val="NormalWeb"/>
        <w:spacing w:after="0"/>
        <w:rPr>
          <w:rFonts w:ascii="Arial" w:hAnsi="Arial" w:cs="Arial"/>
        </w:rPr>
      </w:pPr>
    </w:p>
    <w:p w:rsidR="003D7D99" w:rsidRPr="008402C6" w:rsidRDefault="003D7D99" w:rsidP="00B73DC2">
      <w:pPr>
        <w:pStyle w:val="NormalWeb"/>
        <w:spacing w:after="0"/>
        <w:rPr>
          <w:rFonts w:ascii="Arial" w:hAnsi="Arial" w:cs="Arial"/>
        </w:rPr>
      </w:pPr>
      <w:r w:rsidRPr="00782192">
        <w:rPr>
          <w:rFonts w:ascii="Arial" w:hAnsi="Arial" w:cs="Arial"/>
        </w:rPr>
        <w:t>The Academy will submit comments</w:t>
      </w:r>
      <w:r w:rsidR="00BC232D">
        <w:rPr>
          <w:rFonts w:ascii="Arial" w:hAnsi="Arial" w:cs="Arial"/>
        </w:rPr>
        <w:t xml:space="preserve"> to CMS</w:t>
      </w:r>
      <w:r w:rsidRPr="00782192">
        <w:rPr>
          <w:rFonts w:ascii="Arial" w:hAnsi="Arial" w:cs="Arial"/>
        </w:rPr>
        <w:t xml:space="preserve"> by the </w:t>
      </w:r>
      <w:r w:rsidRPr="00782192">
        <w:rPr>
          <w:rFonts w:ascii="Arial" w:hAnsi="Arial" w:cs="Arial"/>
          <w:b/>
        </w:rPr>
        <w:t>October 22, 2012 deadline</w:t>
      </w:r>
      <w:r w:rsidR="00C13964">
        <w:rPr>
          <w:rFonts w:ascii="Arial" w:hAnsi="Arial" w:cs="Arial"/>
        </w:rPr>
        <w:t xml:space="preserve"> and will post comments on the Academy’s EHR</w:t>
      </w:r>
      <w:r w:rsidR="008402C6">
        <w:rPr>
          <w:rFonts w:ascii="Arial" w:hAnsi="Arial" w:cs="Arial"/>
        </w:rPr>
        <w:t xml:space="preserve"> </w:t>
      </w:r>
      <w:r w:rsidR="00592B06">
        <w:rPr>
          <w:rFonts w:ascii="Arial" w:hAnsi="Arial" w:cs="Arial"/>
        </w:rPr>
        <w:t xml:space="preserve">webpage </w:t>
      </w:r>
      <w:r w:rsidR="00592B06" w:rsidRPr="00592B06">
        <w:rPr>
          <w:rFonts w:ascii="Arial" w:hAnsi="Arial" w:cs="Arial"/>
        </w:rPr>
        <w:t xml:space="preserve">at </w:t>
      </w:r>
      <w:hyperlink r:id="rId7" w:history="1">
        <w:r w:rsidR="00592B06" w:rsidRPr="00592B06">
          <w:rPr>
            <w:rStyle w:val="Hyperlink"/>
            <w:rFonts w:ascii="Arial" w:hAnsi="Arial" w:cs="Arial"/>
          </w:rPr>
          <w:t>http://www.entnet.org/Practice/ONC.cfm</w:t>
        </w:r>
      </w:hyperlink>
      <w:r w:rsidR="00592B06" w:rsidRPr="00592B06">
        <w:rPr>
          <w:rFonts w:ascii="Arial" w:hAnsi="Arial" w:cs="Arial"/>
        </w:rPr>
        <w:t>.</w:t>
      </w:r>
      <w:r w:rsidR="00592B06">
        <w:t xml:space="preserve"> </w:t>
      </w:r>
    </w:p>
    <w:p w:rsidR="003D7D99" w:rsidRPr="00782192" w:rsidRDefault="003D7D99" w:rsidP="00B73DC2">
      <w:pPr>
        <w:pStyle w:val="NormalWeb"/>
        <w:spacing w:after="0"/>
        <w:rPr>
          <w:rFonts w:ascii="Arial" w:hAnsi="Arial" w:cs="Arial"/>
        </w:rPr>
      </w:pPr>
    </w:p>
    <w:p w:rsidR="003D7D99" w:rsidRPr="00782192" w:rsidRDefault="00C13964" w:rsidP="00B73DC2">
      <w:pPr>
        <w:pStyle w:val="NormalWeb"/>
        <w:spacing w:after="0"/>
        <w:rPr>
          <w:rFonts w:ascii="Arial" w:hAnsi="Arial" w:cs="Arial"/>
          <w:b/>
          <w:color w:val="C00000"/>
          <w:u w:val="single"/>
        </w:rPr>
      </w:pPr>
      <w:r>
        <w:rPr>
          <w:rFonts w:ascii="Arial" w:hAnsi="Arial" w:cs="Arial"/>
          <w:b/>
          <w:color w:val="C00000"/>
          <w:u w:val="single"/>
        </w:rPr>
        <w:t>Stage 2</w:t>
      </w:r>
      <w:r w:rsidR="003D7D99" w:rsidRPr="00782192">
        <w:rPr>
          <w:rFonts w:ascii="Arial" w:hAnsi="Arial" w:cs="Arial"/>
          <w:b/>
          <w:color w:val="C00000"/>
          <w:u w:val="single"/>
        </w:rPr>
        <w:t xml:space="preserve"> Core Objectives</w:t>
      </w:r>
      <w:r w:rsidR="00F37FED" w:rsidRPr="00782192">
        <w:rPr>
          <w:rFonts w:ascii="Arial" w:hAnsi="Arial" w:cs="Arial"/>
          <w:b/>
          <w:color w:val="C00000"/>
          <w:u w:val="single"/>
        </w:rPr>
        <w:t xml:space="preserve"> and Menu Objectives</w:t>
      </w:r>
    </w:p>
    <w:p w:rsidR="003D7D99" w:rsidRDefault="003D7D99" w:rsidP="00B73DC2">
      <w:pPr>
        <w:pStyle w:val="NormalWeb"/>
        <w:spacing w:after="0"/>
        <w:rPr>
          <w:rFonts w:ascii="Arial" w:hAnsi="Arial" w:cs="Arial"/>
          <w:color w:val="C00000"/>
        </w:rPr>
      </w:pPr>
    </w:p>
    <w:p w:rsidR="00B93506" w:rsidRPr="00C13964" w:rsidRDefault="00385698" w:rsidP="00B73DC2">
      <w:pPr>
        <w:pStyle w:val="NormalWeb"/>
        <w:spacing w:after="0"/>
        <w:rPr>
          <w:rFonts w:ascii="Arial" w:hAnsi="Arial" w:cs="Arial"/>
        </w:rPr>
      </w:pPr>
      <w:r>
        <w:rPr>
          <w:rFonts w:ascii="Arial" w:hAnsi="Arial" w:cs="Arial"/>
        </w:rPr>
        <w:t xml:space="preserve">In comments on the proposed Stage 2 rule in May, the Academy expressed concern that </w:t>
      </w:r>
      <w:r w:rsidRPr="00385698">
        <w:rPr>
          <w:rFonts w:ascii="Arial" w:hAnsi="Arial" w:cs="Arial"/>
        </w:rPr>
        <w:t xml:space="preserve">stringent program requirements with high satisfaction thresholds will hinder health information technology (HIT) adoption. </w:t>
      </w:r>
      <w:r>
        <w:rPr>
          <w:rFonts w:ascii="Arial" w:hAnsi="Arial" w:cs="Arial"/>
        </w:rPr>
        <w:t>The Academy believes a</w:t>
      </w:r>
      <w:r w:rsidRPr="00385698">
        <w:rPr>
          <w:rFonts w:ascii="Arial" w:hAnsi="Arial" w:cs="Arial"/>
        </w:rPr>
        <w:t xml:space="preserve">llowing for greater flexibility to meet meaningful use requirements will spur the adoption of HIT and move the </w:t>
      </w:r>
      <w:r w:rsidR="00E77871">
        <w:rPr>
          <w:rFonts w:ascii="Arial" w:hAnsi="Arial" w:cs="Arial"/>
        </w:rPr>
        <w:t>medical community</w:t>
      </w:r>
      <w:r w:rsidR="00E77871" w:rsidRPr="00385698">
        <w:rPr>
          <w:rFonts w:ascii="Arial" w:hAnsi="Arial" w:cs="Arial"/>
        </w:rPr>
        <w:t xml:space="preserve"> </w:t>
      </w:r>
      <w:r w:rsidRPr="00385698">
        <w:rPr>
          <w:rFonts w:ascii="Arial" w:hAnsi="Arial" w:cs="Arial"/>
        </w:rPr>
        <w:t>closer to the desired outcome for the Medicare/Medicaid EHR incentives.</w:t>
      </w:r>
      <w:r w:rsidR="00B93506">
        <w:rPr>
          <w:rFonts w:ascii="Arial" w:hAnsi="Arial" w:cs="Arial"/>
        </w:rPr>
        <w:t xml:space="preserve"> </w:t>
      </w:r>
      <w:r w:rsidR="00B93506" w:rsidRPr="00B93506">
        <w:rPr>
          <w:rFonts w:ascii="Arial" w:hAnsi="Arial" w:cs="Arial"/>
          <w:b/>
        </w:rPr>
        <w:t xml:space="preserve">Although CMS did incorporate some changes </w:t>
      </w:r>
      <w:r w:rsidR="000F6F95" w:rsidRPr="00B93506">
        <w:rPr>
          <w:rFonts w:ascii="Arial" w:hAnsi="Arial" w:cs="Arial"/>
          <w:b/>
        </w:rPr>
        <w:t>to the thresholds for Stage 2</w:t>
      </w:r>
      <w:r w:rsidR="000F6F95">
        <w:rPr>
          <w:rFonts w:ascii="Arial" w:hAnsi="Arial" w:cs="Arial"/>
          <w:b/>
        </w:rPr>
        <w:t xml:space="preserve"> </w:t>
      </w:r>
      <w:r w:rsidR="00E77871">
        <w:rPr>
          <w:rFonts w:ascii="Arial" w:hAnsi="Arial" w:cs="Arial"/>
          <w:b/>
        </w:rPr>
        <w:t xml:space="preserve">which </w:t>
      </w:r>
      <w:r w:rsidR="00B93506" w:rsidRPr="00B93506">
        <w:rPr>
          <w:rFonts w:ascii="Arial" w:hAnsi="Arial" w:cs="Arial"/>
          <w:b/>
        </w:rPr>
        <w:t xml:space="preserve">the Academy asked for, many of the measurement thresholds remain too high and </w:t>
      </w:r>
      <w:r w:rsidR="00D32FD7">
        <w:rPr>
          <w:rFonts w:ascii="Arial" w:hAnsi="Arial" w:cs="Arial"/>
          <w:b/>
        </w:rPr>
        <w:t xml:space="preserve">overall, this </w:t>
      </w:r>
      <w:r w:rsidR="00B93506" w:rsidRPr="00B93506">
        <w:rPr>
          <w:rFonts w:ascii="Arial" w:hAnsi="Arial" w:cs="Arial"/>
          <w:b/>
        </w:rPr>
        <w:t>will impede HIT adoption</w:t>
      </w:r>
      <w:r w:rsidR="00D32FD7">
        <w:rPr>
          <w:rFonts w:ascii="Arial" w:hAnsi="Arial" w:cs="Arial"/>
          <w:b/>
        </w:rPr>
        <w:t xml:space="preserve"> for many specialties, including otolaryngology-head and neck surgery</w:t>
      </w:r>
      <w:r w:rsidR="00B93506" w:rsidRPr="00B93506">
        <w:rPr>
          <w:rFonts w:ascii="Arial" w:hAnsi="Arial" w:cs="Arial"/>
          <w:b/>
        </w:rPr>
        <w:t>.</w:t>
      </w:r>
      <w:r w:rsidR="00D32FD7">
        <w:rPr>
          <w:rFonts w:ascii="Arial" w:hAnsi="Arial" w:cs="Arial"/>
          <w:b/>
        </w:rPr>
        <w:t xml:space="preserve"> The Academy will continue to express these concerns to CMS in its comment letter and any other opportunities to advocate on behalf of members. </w:t>
      </w:r>
      <w:r w:rsidR="00B93506">
        <w:rPr>
          <w:rFonts w:ascii="Arial" w:hAnsi="Arial" w:cs="Arial"/>
        </w:rPr>
        <w:t xml:space="preserve"> </w:t>
      </w:r>
    </w:p>
    <w:p w:rsidR="00C13964" w:rsidRPr="00782192" w:rsidRDefault="00C13964" w:rsidP="00B73DC2">
      <w:pPr>
        <w:pStyle w:val="NormalWeb"/>
        <w:spacing w:after="0"/>
        <w:rPr>
          <w:rFonts w:ascii="Arial" w:hAnsi="Arial" w:cs="Arial"/>
          <w:b/>
          <w:color w:val="C00000"/>
          <w:u w:val="single"/>
        </w:rPr>
      </w:pPr>
    </w:p>
    <w:p w:rsidR="006459CB" w:rsidRDefault="00575D31" w:rsidP="00B73DC2">
      <w:pPr>
        <w:pStyle w:val="NormalWeb"/>
        <w:spacing w:after="0"/>
        <w:rPr>
          <w:rFonts w:ascii="Arial" w:hAnsi="Arial" w:cs="Arial"/>
        </w:rPr>
      </w:pPr>
      <w:r>
        <w:rPr>
          <w:rFonts w:ascii="Arial" w:hAnsi="Arial" w:cs="Arial"/>
          <w:b/>
          <w:u w:val="single"/>
        </w:rPr>
        <w:t>CORE OBJECTIVES:</w:t>
      </w:r>
      <w:r w:rsidR="000F708A" w:rsidRPr="000F708A">
        <w:rPr>
          <w:rFonts w:ascii="Arial" w:hAnsi="Arial" w:cs="Arial"/>
          <w:b/>
        </w:rPr>
        <w:t xml:space="preserve">  </w:t>
      </w:r>
      <w:r w:rsidR="00B93506" w:rsidRPr="00575D31">
        <w:rPr>
          <w:rFonts w:ascii="Arial" w:hAnsi="Arial" w:cs="Arial"/>
          <w:b/>
        </w:rPr>
        <w:t xml:space="preserve">For </w:t>
      </w:r>
      <w:r w:rsidR="0071760A" w:rsidRPr="00575D31">
        <w:rPr>
          <w:rFonts w:ascii="Arial" w:hAnsi="Arial" w:cs="Arial"/>
          <w:b/>
        </w:rPr>
        <w:t>Stag</w:t>
      </w:r>
      <w:r w:rsidR="00AF7305" w:rsidRPr="00575D31">
        <w:rPr>
          <w:rFonts w:ascii="Arial" w:hAnsi="Arial" w:cs="Arial"/>
          <w:b/>
        </w:rPr>
        <w:t>e 2, there are 17 consolidated Core O</w:t>
      </w:r>
      <w:r w:rsidR="0071760A" w:rsidRPr="00575D31">
        <w:rPr>
          <w:rFonts w:ascii="Arial" w:hAnsi="Arial" w:cs="Arial"/>
          <w:b/>
        </w:rPr>
        <w:t>bjectives</w:t>
      </w:r>
      <w:r w:rsidR="007B303E" w:rsidRPr="00575D31">
        <w:rPr>
          <w:rFonts w:ascii="Arial" w:hAnsi="Arial" w:cs="Arial"/>
          <w:b/>
        </w:rPr>
        <w:t xml:space="preserve"> for EPs</w:t>
      </w:r>
      <w:r w:rsidR="0071760A" w:rsidRPr="00575D31">
        <w:rPr>
          <w:rFonts w:ascii="Arial" w:hAnsi="Arial" w:cs="Arial"/>
          <w:b/>
        </w:rPr>
        <w:t xml:space="preserve"> to report.</w:t>
      </w:r>
      <w:r w:rsidR="0071760A" w:rsidRPr="00575D31">
        <w:rPr>
          <w:rFonts w:ascii="Arial" w:hAnsi="Arial" w:cs="Arial"/>
        </w:rPr>
        <w:t xml:space="preserve"> </w:t>
      </w:r>
      <w:r w:rsidR="0071760A" w:rsidRPr="00782192">
        <w:rPr>
          <w:rFonts w:ascii="Arial" w:hAnsi="Arial" w:cs="Arial"/>
        </w:rPr>
        <w:t xml:space="preserve">Many objectives from Stage 1 are continued </w:t>
      </w:r>
      <w:r w:rsidR="00B93506">
        <w:rPr>
          <w:rFonts w:ascii="Arial" w:hAnsi="Arial" w:cs="Arial"/>
        </w:rPr>
        <w:t>with higher measurement thresholds in Stage 2</w:t>
      </w:r>
      <w:r w:rsidR="0071760A" w:rsidRPr="00782192">
        <w:rPr>
          <w:rFonts w:ascii="Arial" w:hAnsi="Arial" w:cs="Arial"/>
        </w:rPr>
        <w:t xml:space="preserve">. Several Stage 1 core objectives were combined </w:t>
      </w:r>
      <w:r w:rsidR="00B93506">
        <w:rPr>
          <w:rFonts w:ascii="Arial" w:hAnsi="Arial" w:cs="Arial"/>
        </w:rPr>
        <w:t xml:space="preserve">and </w:t>
      </w:r>
      <w:r w:rsidR="005735CE" w:rsidRPr="00782192">
        <w:rPr>
          <w:rFonts w:ascii="Arial" w:hAnsi="Arial" w:cs="Arial"/>
        </w:rPr>
        <w:t>several new core objectives</w:t>
      </w:r>
      <w:r w:rsidR="00B93506">
        <w:rPr>
          <w:rFonts w:ascii="Arial" w:hAnsi="Arial" w:cs="Arial"/>
        </w:rPr>
        <w:t xml:space="preserve"> were created for Stage 2</w:t>
      </w:r>
      <w:r w:rsidR="005735CE" w:rsidRPr="00782192">
        <w:rPr>
          <w:rFonts w:ascii="Arial" w:hAnsi="Arial" w:cs="Arial"/>
        </w:rPr>
        <w:t>.</w:t>
      </w:r>
      <w:r w:rsidR="00B93506">
        <w:rPr>
          <w:rFonts w:ascii="Arial" w:hAnsi="Arial" w:cs="Arial"/>
        </w:rPr>
        <w:t xml:space="preserve"> CMS</w:t>
      </w:r>
      <w:r w:rsidR="00B1075F" w:rsidRPr="00782192">
        <w:rPr>
          <w:rFonts w:ascii="Arial" w:hAnsi="Arial" w:cs="Arial"/>
        </w:rPr>
        <w:t xml:space="preserve"> prepared a chart comparing these Stage 2 core objectives, which can be accessed </w:t>
      </w:r>
      <w:hyperlink r:id="rId8" w:history="1">
        <w:r w:rsidR="00B1075F" w:rsidRPr="00782192">
          <w:rPr>
            <w:rStyle w:val="Hyperlink"/>
            <w:rFonts w:ascii="Arial" w:hAnsi="Arial" w:cs="Arial"/>
          </w:rPr>
          <w:t>here</w:t>
        </w:r>
      </w:hyperlink>
      <w:r w:rsidR="00B1075F" w:rsidRPr="00782192">
        <w:rPr>
          <w:rFonts w:ascii="Arial" w:hAnsi="Arial" w:cs="Arial"/>
        </w:rPr>
        <w:t>.</w:t>
      </w:r>
      <w:r w:rsidR="005735CE" w:rsidRPr="00782192">
        <w:rPr>
          <w:rFonts w:ascii="Arial" w:hAnsi="Arial" w:cs="Arial"/>
        </w:rPr>
        <w:t xml:space="preserve"> </w:t>
      </w:r>
    </w:p>
    <w:p w:rsidR="006459CB" w:rsidRDefault="006459CB" w:rsidP="00B73DC2">
      <w:pPr>
        <w:pStyle w:val="NormalWeb"/>
        <w:spacing w:after="0"/>
        <w:rPr>
          <w:rFonts w:ascii="Arial" w:hAnsi="Arial" w:cs="Arial"/>
        </w:rPr>
      </w:pPr>
    </w:p>
    <w:p w:rsidR="00F76776" w:rsidRDefault="00575D31" w:rsidP="00B73DC2">
      <w:pPr>
        <w:pStyle w:val="NormalWeb"/>
        <w:spacing w:after="0"/>
        <w:rPr>
          <w:rFonts w:ascii="Arial" w:hAnsi="Arial" w:cs="Arial"/>
        </w:rPr>
      </w:pPr>
      <w:r>
        <w:rPr>
          <w:rFonts w:ascii="Arial" w:hAnsi="Arial" w:cs="Arial"/>
          <w:b/>
          <w:u w:val="single"/>
        </w:rPr>
        <w:t>MENU OBJECTIVES:</w:t>
      </w:r>
      <w:r w:rsidR="000F708A" w:rsidRPr="000F708A">
        <w:rPr>
          <w:rFonts w:ascii="Arial" w:hAnsi="Arial" w:cs="Arial"/>
          <w:b/>
        </w:rPr>
        <w:t xml:space="preserve">  </w:t>
      </w:r>
      <w:r w:rsidR="00B93506" w:rsidRPr="00575D31">
        <w:rPr>
          <w:rFonts w:ascii="Arial" w:hAnsi="Arial" w:cs="Arial"/>
          <w:b/>
        </w:rPr>
        <w:t>For</w:t>
      </w:r>
      <w:r w:rsidR="00F37FED" w:rsidRPr="00575D31">
        <w:rPr>
          <w:rFonts w:ascii="Arial" w:hAnsi="Arial" w:cs="Arial"/>
          <w:b/>
        </w:rPr>
        <w:t xml:space="preserve"> Stage 2, EPs must report 3 of the 6 Menu Objectives.</w:t>
      </w:r>
      <w:r w:rsidR="00F37FED" w:rsidRPr="00575D31">
        <w:rPr>
          <w:rFonts w:ascii="Arial" w:hAnsi="Arial" w:cs="Arial"/>
        </w:rPr>
        <w:t xml:space="preserve"> </w:t>
      </w:r>
      <w:r w:rsidR="00AF7305" w:rsidRPr="00575D31">
        <w:rPr>
          <w:rFonts w:ascii="Arial" w:hAnsi="Arial" w:cs="Arial"/>
        </w:rPr>
        <w:t xml:space="preserve">Many of the Menu </w:t>
      </w:r>
      <w:r w:rsidR="00AF7305">
        <w:rPr>
          <w:rFonts w:ascii="Arial" w:hAnsi="Arial" w:cs="Arial"/>
        </w:rPr>
        <w:t xml:space="preserve">Objectives in Stage 2 are new, as some Stage 1 Menu Objectives were rolled into Core Objectives in Stage 2. </w:t>
      </w:r>
    </w:p>
    <w:p w:rsidR="00F76776" w:rsidRDefault="00F76776" w:rsidP="00B73DC2">
      <w:pPr>
        <w:pStyle w:val="NormalWeb"/>
        <w:spacing w:after="0"/>
        <w:rPr>
          <w:rFonts w:ascii="Arial" w:hAnsi="Arial" w:cs="Arial"/>
        </w:rPr>
      </w:pPr>
    </w:p>
    <w:p w:rsidR="00B1075F" w:rsidRPr="00782192" w:rsidRDefault="005735CE" w:rsidP="00B73DC2">
      <w:pPr>
        <w:pStyle w:val="NormalWeb"/>
        <w:spacing w:after="0"/>
        <w:rPr>
          <w:rFonts w:ascii="Arial" w:hAnsi="Arial" w:cs="Arial"/>
        </w:rPr>
      </w:pPr>
      <w:r w:rsidRPr="00782192">
        <w:rPr>
          <w:rFonts w:ascii="Arial" w:hAnsi="Arial" w:cs="Arial"/>
        </w:rPr>
        <w:t xml:space="preserve">A </w:t>
      </w:r>
      <w:r w:rsidR="00AF7305">
        <w:rPr>
          <w:rFonts w:ascii="Arial" w:hAnsi="Arial" w:cs="Arial"/>
        </w:rPr>
        <w:t xml:space="preserve">full </w:t>
      </w:r>
      <w:r w:rsidRPr="00782192">
        <w:rPr>
          <w:rFonts w:ascii="Arial" w:hAnsi="Arial" w:cs="Arial"/>
        </w:rPr>
        <w:t xml:space="preserve">list of the Stage 2 core </w:t>
      </w:r>
      <w:r w:rsidR="00F37FED" w:rsidRPr="00782192">
        <w:rPr>
          <w:rFonts w:ascii="Arial" w:hAnsi="Arial" w:cs="Arial"/>
        </w:rPr>
        <w:t xml:space="preserve">and menu </w:t>
      </w:r>
      <w:r w:rsidRPr="00782192">
        <w:rPr>
          <w:rFonts w:ascii="Arial" w:hAnsi="Arial" w:cs="Arial"/>
        </w:rPr>
        <w:t xml:space="preserve">objectives can be found </w:t>
      </w:r>
      <w:hyperlink r:id="rId9" w:history="1">
        <w:r w:rsidRPr="00B441F5">
          <w:rPr>
            <w:rStyle w:val="Hyperlink"/>
            <w:rFonts w:ascii="Arial" w:hAnsi="Arial" w:cs="Arial"/>
          </w:rPr>
          <w:t>her</w:t>
        </w:r>
        <w:r w:rsidRPr="00B441F5">
          <w:rPr>
            <w:rStyle w:val="Hyperlink"/>
            <w:rFonts w:ascii="Arial" w:hAnsi="Arial" w:cs="Arial"/>
          </w:rPr>
          <w:t>e</w:t>
        </w:r>
      </w:hyperlink>
      <w:r w:rsidR="00B441F5">
        <w:rPr>
          <w:rFonts w:ascii="Arial" w:hAnsi="Arial" w:cs="Arial"/>
        </w:rPr>
        <w:t xml:space="preserve">. </w:t>
      </w:r>
      <w:r w:rsidRPr="00782192">
        <w:rPr>
          <w:rFonts w:ascii="Arial" w:hAnsi="Arial" w:cs="Arial"/>
        </w:rPr>
        <w:t xml:space="preserve"> </w:t>
      </w:r>
    </w:p>
    <w:p w:rsidR="00B1075F" w:rsidRPr="00B93506" w:rsidRDefault="005735CE" w:rsidP="00B73DC2">
      <w:pPr>
        <w:rPr>
          <w:rFonts w:ascii="Arial" w:hAnsi="Arial" w:cs="Arial"/>
          <w:sz w:val="20"/>
          <w:szCs w:val="20"/>
        </w:rPr>
      </w:pPr>
      <w:r w:rsidRPr="00782192">
        <w:rPr>
          <w:rFonts w:ascii="Arial" w:hAnsi="Arial" w:cs="Arial"/>
          <w:sz w:val="20"/>
          <w:szCs w:val="20"/>
        </w:rPr>
        <w:t xml:space="preserve"> </w:t>
      </w:r>
    </w:p>
    <w:p w:rsidR="00687B7B" w:rsidRPr="00782192" w:rsidRDefault="00ED6840" w:rsidP="00B73DC2">
      <w:pPr>
        <w:autoSpaceDE w:val="0"/>
        <w:autoSpaceDN w:val="0"/>
        <w:adjustRightInd w:val="0"/>
        <w:rPr>
          <w:rFonts w:ascii="Arial" w:hAnsi="Arial" w:cs="Arial"/>
          <w:b/>
          <w:color w:val="C00000"/>
          <w:sz w:val="20"/>
          <w:szCs w:val="20"/>
          <w:u w:val="single"/>
        </w:rPr>
      </w:pPr>
      <w:r>
        <w:rPr>
          <w:rFonts w:ascii="Arial" w:hAnsi="Arial" w:cs="Arial"/>
          <w:b/>
          <w:color w:val="C00000"/>
          <w:sz w:val="20"/>
          <w:szCs w:val="20"/>
          <w:u w:val="single"/>
        </w:rPr>
        <w:t xml:space="preserve">Attesting to </w:t>
      </w:r>
      <w:r w:rsidR="000F6F95">
        <w:rPr>
          <w:rFonts w:ascii="Arial" w:hAnsi="Arial" w:cs="Arial"/>
          <w:b/>
          <w:color w:val="C00000"/>
          <w:sz w:val="20"/>
          <w:szCs w:val="20"/>
          <w:u w:val="single"/>
        </w:rPr>
        <w:t>Meaningful Use with an EHR</w:t>
      </w:r>
    </w:p>
    <w:p w:rsidR="00687B7B" w:rsidRDefault="00687B7B" w:rsidP="00B73DC2">
      <w:pPr>
        <w:autoSpaceDE w:val="0"/>
        <w:autoSpaceDN w:val="0"/>
        <w:adjustRightInd w:val="0"/>
        <w:rPr>
          <w:rFonts w:ascii="Arial" w:hAnsi="Arial" w:cs="Arial"/>
          <w:b/>
          <w:color w:val="C00000"/>
          <w:sz w:val="20"/>
          <w:szCs w:val="20"/>
          <w:u w:val="single"/>
        </w:rPr>
      </w:pPr>
    </w:p>
    <w:p w:rsidR="0076247A" w:rsidRPr="0076247A" w:rsidRDefault="00C13964" w:rsidP="00B73DC2">
      <w:pPr>
        <w:autoSpaceDE w:val="0"/>
        <w:autoSpaceDN w:val="0"/>
        <w:adjustRightInd w:val="0"/>
        <w:rPr>
          <w:rFonts w:ascii="Arial" w:hAnsi="Arial" w:cs="Arial"/>
          <w:sz w:val="20"/>
          <w:szCs w:val="20"/>
        </w:rPr>
      </w:pPr>
      <w:r>
        <w:rPr>
          <w:rFonts w:ascii="Arial" w:hAnsi="Arial" w:cs="Arial"/>
          <w:sz w:val="20"/>
          <w:szCs w:val="20"/>
        </w:rPr>
        <w:t>In Stage 2, CMS continues the requirement that an</w:t>
      </w:r>
      <w:r w:rsidR="0076247A" w:rsidRPr="0076247A">
        <w:rPr>
          <w:rFonts w:ascii="Arial" w:hAnsi="Arial" w:cs="Arial"/>
          <w:sz w:val="20"/>
          <w:szCs w:val="20"/>
        </w:rPr>
        <w:t xml:space="preserve"> EP must have 50 percent or more of </w:t>
      </w:r>
      <w:r w:rsidR="00575D31">
        <w:rPr>
          <w:rFonts w:ascii="Arial" w:hAnsi="Arial" w:cs="Arial"/>
          <w:sz w:val="20"/>
          <w:szCs w:val="20"/>
        </w:rPr>
        <w:t>their</w:t>
      </w:r>
      <w:r w:rsidR="00575D31" w:rsidRPr="0076247A">
        <w:rPr>
          <w:rFonts w:ascii="Arial" w:hAnsi="Arial" w:cs="Arial"/>
          <w:sz w:val="20"/>
          <w:szCs w:val="20"/>
        </w:rPr>
        <w:t xml:space="preserve"> </w:t>
      </w:r>
      <w:r w:rsidR="0076247A" w:rsidRPr="0076247A">
        <w:rPr>
          <w:rFonts w:ascii="Arial" w:hAnsi="Arial" w:cs="Arial"/>
          <w:sz w:val="20"/>
          <w:szCs w:val="20"/>
        </w:rPr>
        <w:t>outpatient encounters during the EHR reporting period at a practice</w:t>
      </w:r>
      <w:r w:rsidR="00575D31">
        <w:rPr>
          <w:rFonts w:ascii="Arial" w:hAnsi="Arial" w:cs="Arial"/>
          <w:sz w:val="20"/>
          <w:szCs w:val="20"/>
        </w:rPr>
        <w:t>(s)</w:t>
      </w:r>
      <w:r w:rsidR="0076247A" w:rsidRPr="0076247A">
        <w:rPr>
          <w:rFonts w:ascii="Arial" w:hAnsi="Arial" w:cs="Arial"/>
          <w:sz w:val="20"/>
          <w:szCs w:val="20"/>
        </w:rPr>
        <w:t>/location</w:t>
      </w:r>
      <w:r w:rsidR="00575D31">
        <w:rPr>
          <w:rFonts w:ascii="Arial" w:hAnsi="Arial" w:cs="Arial"/>
          <w:sz w:val="20"/>
          <w:szCs w:val="20"/>
        </w:rPr>
        <w:t>(s)</w:t>
      </w:r>
      <w:r w:rsidR="0076247A" w:rsidRPr="0076247A">
        <w:rPr>
          <w:rFonts w:ascii="Arial" w:hAnsi="Arial" w:cs="Arial"/>
          <w:sz w:val="20"/>
          <w:szCs w:val="20"/>
        </w:rPr>
        <w:t xml:space="preserve"> equipped with Certified EHR Technology. An EP who does not conduct at least 50 percent of their patient encounters in any one practice/location would have to meet the 50 percent threshold through a combination of practices/locations equipped with Certified EHR Technology.</w:t>
      </w:r>
    </w:p>
    <w:p w:rsidR="0076247A" w:rsidRPr="0076247A" w:rsidRDefault="0076247A" w:rsidP="00B73DC2">
      <w:pPr>
        <w:autoSpaceDE w:val="0"/>
        <w:autoSpaceDN w:val="0"/>
        <w:adjustRightInd w:val="0"/>
        <w:rPr>
          <w:rFonts w:ascii="Arial" w:hAnsi="Arial" w:cs="Arial"/>
          <w:sz w:val="20"/>
          <w:szCs w:val="20"/>
        </w:rPr>
      </w:pPr>
    </w:p>
    <w:p w:rsidR="00445308" w:rsidRDefault="000F6F95" w:rsidP="00B73DC2">
      <w:pPr>
        <w:autoSpaceDE w:val="0"/>
        <w:autoSpaceDN w:val="0"/>
        <w:adjustRightInd w:val="0"/>
        <w:rPr>
          <w:rFonts w:ascii="Arial" w:hAnsi="Arial" w:cs="Arial"/>
          <w:sz w:val="20"/>
          <w:szCs w:val="20"/>
        </w:rPr>
      </w:pPr>
      <w:r>
        <w:rPr>
          <w:rFonts w:ascii="Arial" w:hAnsi="Arial" w:cs="Arial"/>
          <w:sz w:val="20"/>
          <w:szCs w:val="20"/>
        </w:rPr>
        <w:t xml:space="preserve">For </w:t>
      </w:r>
      <w:r w:rsidR="00385698">
        <w:rPr>
          <w:rFonts w:ascii="Arial" w:hAnsi="Arial" w:cs="Arial"/>
          <w:sz w:val="20"/>
          <w:szCs w:val="20"/>
        </w:rPr>
        <w:t xml:space="preserve">Stage 2, CMS will continue to count patients whose records are </w:t>
      </w:r>
      <w:r w:rsidR="00B93506">
        <w:rPr>
          <w:rFonts w:ascii="Arial" w:hAnsi="Arial" w:cs="Arial"/>
          <w:sz w:val="20"/>
          <w:szCs w:val="20"/>
        </w:rPr>
        <w:t>maintained by Certified Health Record Technology (CEHRT) in the denominator, rather than all patients</w:t>
      </w:r>
      <w:r>
        <w:rPr>
          <w:rFonts w:ascii="Arial" w:hAnsi="Arial" w:cs="Arial"/>
          <w:sz w:val="20"/>
          <w:szCs w:val="20"/>
        </w:rPr>
        <w:t>, which had been proposed.</w:t>
      </w:r>
    </w:p>
    <w:p w:rsidR="00385698" w:rsidRDefault="00385698" w:rsidP="00B73DC2">
      <w:pPr>
        <w:autoSpaceDE w:val="0"/>
        <w:autoSpaceDN w:val="0"/>
        <w:adjustRightInd w:val="0"/>
        <w:rPr>
          <w:rFonts w:ascii="Arial" w:hAnsi="Arial" w:cs="Arial"/>
          <w:sz w:val="20"/>
          <w:szCs w:val="20"/>
        </w:rPr>
      </w:pPr>
    </w:p>
    <w:p w:rsidR="00687B7B" w:rsidRDefault="000F6F95" w:rsidP="00B73DC2">
      <w:pPr>
        <w:autoSpaceDE w:val="0"/>
        <w:autoSpaceDN w:val="0"/>
        <w:adjustRightInd w:val="0"/>
        <w:rPr>
          <w:rFonts w:ascii="Arial" w:hAnsi="Arial" w:cs="Arial"/>
          <w:sz w:val="20"/>
          <w:szCs w:val="20"/>
        </w:rPr>
      </w:pPr>
      <w:r>
        <w:rPr>
          <w:rFonts w:ascii="Arial" w:hAnsi="Arial" w:cs="Arial"/>
          <w:sz w:val="20"/>
          <w:szCs w:val="20"/>
          <w:u w:val="single"/>
        </w:rPr>
        <w:t>A</w:t>
      </w:r>
      <w:r w:rsidR="00687B7B" w:rsidRPr="00C13964">
        <w:rPr>
          <w:rFonts w:ascii="Arial" w:hAnsi="Arial" w:cs="Arial"/>
          <w:sz w:val="20"/>
          <w:szCs w:val="20"/>
          <w:u w:val="single"/>
        </w:rPr>
        <w:t>ll new participants in the EHR Me</w:t>
      </w:r>
      <w:r>
        <w:rPr>
          <w:rFonts w:ascii="Arial" w:hAnsi="Arial" w:cs="Arial"/>
          <w:sz w:val="20"/>
          <w:szCs w:val="20"/>
          <w:u w:val="single"/>
        </w:rPr>
        <w:t xml:space="preserve">aningful Use Incentive Program </w:t>
      </w:r>
      <w:r w:rsidR="00575D31">
        <w:rPr>
          <w:rFonts w:ascii="Arial" w:hAnsi="Arial" w:cs="Arial"/>
          <w:sz w:val="20"/>
          <w:szCs w:val="20"/>
          <w:u w:val="single"/>
        </w:rPr>
        <w:t xml:space="preserve">will </w:t>
      </w:r>
      <w:r>
        <w:rPr>
          <w:rFonts w:ascii="Arial" w:hAnsi="Arial" w:cs="Arial"/>
          <w:sz w:val="20"/>
          <w:szCs w:val="20"/>
          <w:u w:val="single"/>
        </w:rPr>
        <w:t xml:space="preserve">have a </w:t>
      </w:r>
      <w:r w:rsidR="00575D31">
        <w:rPr>
          <w:rFonts w:ascii="Arial" w:hAnsi="Arial" w:cs="Arial"/>
          <w:sz w:val="20"/>
          <w:szCs w:val="20"/>
          <w:u w:val="single"/>
        </w:rPr>
        <w:t xml:space="preserve">90 day </w:t>
      </w:r>
      <w:r w:rsidR="00687B7B" w:rsidRPr="00C13964">
        <w:rPr>
          <w:rFonts w:ascii="Arial" w:hAnsi="Arial" w:cs="Arial"/>
          <w:sz w:val="20"/>
          <w:szCs w:val="20"/>
          <w:u w:val="single"/>
        </w:rPr>
        <w:t>report</w:t>
      </w:r>
      <w:r w:rsidR="00445308" w:rsidRPr="00C13964">
        <w:rPr>
          <w:rFonts w:ascii="Arial" w:hAnsi="Arial" w:cs="Arial"/>
          <w:sz w:val="20"/>
          <w:szCs w:val="20"/>
          <w:u w:val="single"/>
        </w:rPr>
        <w:t>ing period for the first year of Stage 1</w:t>
      </w:r>
      <w:r w:rsidR="00687B7B" w:rsidRPr="00C13964">
        <w:rPr>
          <w:rFonts w:ascii="Arial" w:hAnsi="Arial" w:cs="Arial"/>
          <w:sz w:val="20"/>
          <w:szCs w:val="20"/>
          <w:u w:val="single"/>
        </w:rPr>
        <w:t>.</w:t>
      </w:r>
      <w:r w:rsidR="00687B7B">
        <w:rPr>
          <w:rFonts w:ascii="Arial" w:hAnsi="Arial" w:cs="Arial"/>
          <w:sz w:val="20"/>
          <w:szCs w:val="20"/>
        </w:rPr>
        <w:t xml:space="preserve"> For the </w:t>
      </w:r>
      <w:r w:rsidR="00ED6840">
        <w:rPr>
          <w:rFonts w:ascii="Arial" w:hAnsi="Arial" w:cs="Arial"/>
          <w:sz w:val="20"/>
          <w:szCs w:val="20"/>
        </w:rPr>
        <w:t>second</w:t>
      </w:r>
      <w:r w:rsidR="00687B7B">
        <w:rPr>
          <w:rFonts w:ascii="Arial" w:hAnsi="Arial" w:cs="Arial"/>
          <w:sz w:val="20"/>
          <w:szCs w:val="20"/>
        </w:rPr>
        <w:t xml:space="preserve"> and subsequent year</w:t>
      </w:r>
      <w:r w:rsidR="00575D31">
        <w:rPr>
          <w:rFonts w:ascii="Arial" w:hAnsi="Arial" w:cs="Arial"/>
          <w:sz w:val="20"/>
          <w:szCs w:val="20"/>
        </w:rPr>
        <w:t>s</w:t>
      </w:r>
      <w:r w:rsidR="00687B7B">
        <w:rPr>
          <w:rFonts w:ascii="Arial" w:hAnsi="Arial" w:cs="Arial"/>
          <w:sz w:val="20"/>
          <w:szCs w:val="20"/>
        </w:rPr>
        <w:t xml:space="preserve">, reporting is based on the full calendar year, with the exception of 2014. </w:t>
      </w:r>
      <w:r>
        <w:rPr>
          <w:rFonts w:ascii="Arial" w:hAnsi="Arial" w:cs="Arial"/>
          <w:sz w:val="20"/>
          <w:szCs w:val="20"/>
        </w:rPr>
        <w:t xml:space="preserve">In 2014 only, </w:t>
      </w:r>
      <w:r w:rsidRPr="00687B7B">
        <w:rPr>
          <w:rFonts w:ascii="Arial" w:hAnsi="Arial" w:cs="Arial"/>
          <w:sz w:val="20"/>
          <w:szCs w:val="20"/>
        </w:rPr>
        <w:t xml:space="preserve">CMS adopts a 3-month </w:t>
      </w:r>
      <w:r w:rsidR="00705D4B">
        <w:rPr>
          <w:rFonts w:ascii="Arial" w:hAnsi="Arial" w:cs="Arial"/>
          <w:sz w:val="20"/>
          <w:szCs w:val="20"/>
        </w:rPr>
        <w:t xml:space="preserve">(90 day) </w:t>
      </w:r>
      <w:r w:rsidRPr="00687B7B">
        <w:rPr>
          <w:rFonts w:ascii="Arial" w:hAnsi="Arial" w:cs="Arial"/>
          <w:sz w:val="20"/>
          <w:szCs w:val="20"/>
        </w:rPr>
        <w:t>quarter</w:t>
      </w:r>
      <w:r>
        <w:rPr>
          <w:rFonts w:ascii="Arial" w:hAnsi="Arial" w:cs="Arial"/>
          <w:sz w:val="20"/>
          <w:szCs w:val="20"/>
        </w:rPr>
        <w:t xml:space="preserve"> </w:t>
      </w:r>
      <w:r w:rsidR="00705D4B">
        <w:rPr>
          <w:rFonts w:ascii="Arial" w:hAnsi="Arial" w:cs="Arial"/>
          <w:sz w:val="20"/>
          <w:szCs w:val="20"/>
        </w:rPr>
        <w:t xml:space="preserve">year </w:t>
      </w:r>
      <w:r>
        <w:rPr>
          <w:rFonts w:ascii="Arial" w:hAnsi="Arial" w:cs="Arial"/>
          <w:sz w:val="20"/>
          <w:szCs w:val="20"/>
        </w:rPr>
        <w:t>EHR reporting period</w:t>
      </w:r>
      <w:r w:rsidRPr="00687B7B">
        <w:rPr>
          <w:rFonts w:ascii="Arial" w:hAnsi="Arial" w:cs="Arial"/>
          <w:sz w:val="20"/>
          <w:szCs w:val="20"/>
        </w:rPr>
        <w:t xml:space="preserve"> for both EPs and hospitals that are beyond their first year of MU</w:t>
      </w:r>
      <w:r>
        <w:rPr>
          <w:rFonts w:ascii="Arial" w:hAnsi="Arial" w:cs="Arial"/>
          <w:sz w:val="20"/>
          <w:szCs w:val="20"/>
        </w:rPr>
        <w:t xml:space="preserve"> t</w:t>
      </w:r>
      <w:r w:rsidR="00687B7B" w:rsidRPr="00687B7B">
        <w:rPr>
          <w:rFonts w:ascii="Arial" w:hAnsi="Arial" w:cs="Arial"/>
          <w:sz w:val="20"/>
          <w:szCs w:val="20"/>
        </w:rPr>
        <w:t xml:space="preserve">o </w:t>
      </w:r>
      <w:r w:rsidR="00575D31">
        <w:rPr>
          <w:rFonts w:ascii="Arial" w:hAnsi="Arial" w:cs="Arial"/>
          <w:sz w:val="20"/>
          <w:szCs w:val="20"/>
        </w:rPr>
        <w:t>allow</w:t>
      </w:r>
      <w:r w:rsidR="00575D31" w:rsidRPr="00687B7B">
        <w:rPr>
          <w:rFonts w:ascii="Arial" w:hAnsi="Arial" w:cs="Arial"/>
          <w:sz w:val="20"/>
          <w:szCs w:val="20"/>
        </w:rPr>
        <w:t xml:space="preserve"> </w:t>
      </w:r>
      <w:r w:rsidR="00687B7B" w:rsidRPr="00687B7B">
        <w:rPr>
          <w:rFonts w:ascii="Arial" w:hAnsi="Arial" w:cs="Arial"/>
          <w:sz w:val="20"/>
          <w:szCs w:val="20"/>
        </w:rPr>
        <w:t xml:space="preserve">providers </w:t>
      </w:r>
      <w:r w:rsidR="00445308">
        <w:rPr>
          <w:rFonts w:ascii="Arial" w:hAnsi="Arial" w:cs="Arial"/>
          <w:sz w:val="20"/>
          <w:szCs w:val="20"/>
        </w:rPr>
        <w:t>more time to meet the Stage 2 meaningful use</w:t>
      </w:r>
      <w:r w:rsidR="00687B7B" w:rsidRPr="00687B7B">
        <w:rPr>
          <w:rFonts w:ascii="Arial" w:hAnsi="Arial" w:cs="Arial"/>
          <w:sz w:val="20"/>
          <w:szCs w:val="20"/>
        </w:rPr>
        <w:t xml:space="preserve"> criteria</w:t>
      </w:r>
      <w:r w:rsidR="00BC232D">
        <w:rPr>
          <w:rFonts w:ascii="Arial" w:hAnsi="Arial" w:cs="Arial"/>
          <w:sz w:val="20"/>
          <w:szCs w:val="20"/>
        </w:rPr>
        <w:t>,</w:t>
      </w:r>
      <w:r w:rsidR="00687B7B" w:rsidRPr="00687B7B">
        <w:rPr>
          <w:rFonts w:ascii="Arial" w:hAnsi="Arial" w:cs="Arial"/>
          <w:sz w:val="20"/>
          <w:szCs w:val="20"/>
        </w:rPr>
        <w:t xml:space="preserve"> a</w:t>
      </w:r>
      <w:r>
        <w:rPr>
          <w:rFonts w:ascii="Arial" w:hAnsi="Arial" w:cs="Arial"/>
          <w:sz w:val="20"/>
          <w:szCs w:val="20"/>
        </w:rPr>
        <w:t>nd the revised Stage 1 criteria.</w:t>
      </w:r>
    </w:p>
    <w:p w:rsidR="00445308" w:rsidRDefault="00445308" w:rsidP="00B73DC2">
      <w:pPr>
        <w:autoSpaceDE w:val="0"/>
        <w:autoSpaceDN w:val="0"/>
        <w:adjustRightInd w:val="0"/>
        <w:rPr>
          <w:rFonts w:ascii="Arial" w:hAnsi="Arial" w:cs="Arial"/>
          <w:sz w:val="20"/>
          <w:szCs w:val="20"/>
        </w:rPr>
      </w:pPr>
    </w:p>
    <w:p w:rsidR="00043837" w:rsidRPr="00687B7B" w:rsidRDefault="00043837" w:rsidP="00B73DC2">
      <w:pPr>
        <w:autoSpaceDE w:val="0"/>
        <w:autoSpaceDN w:val="0"/>
        <w:adjustRightInd w:val="0"/>
        <w:rPr>
          <w:rFonts w:ascii="Arial" w:hAnsi="Arial" w:cs="Arial"/>
          <w:sz w:val="20"/>
          <w:szCs w:val="20"/>
        </w:rPr>
      </w:pPr>
      <w:r w:rsidRPr="00043837">
        <w:rPr>
          <w:rFonts w:ascii="Arial" w:hAnsi="Arial" w:cs="Arial"/>
          <w:sz w:val="20"/>
          <w:szCs w:val="20"/>
        </w:rPr>
        <w:t>CMS will continue its co</w:t>
      </w:r>
      <w:r>
        <w:rPr>
          <w:rFonts w:ascii="Arial" w:hAnsi="Arial" w:cs="Arial"/>
          <w:sz w:val="20"/>
          <w:szCs w:val="20"/>
        </w:rPr>
        <w:t>mmon method for demonstrating meaningful use</w:t>
      </w:r>
      <w:r w:rsidRPr="00043837">
        <w:rPr>
          <w:rFonts w:ascii="Arial" w:hAnsi="Arial" w:cs="Arial"/>
          <w:sz w:val="20"/>
          <w:szCs w:val="20"/>
        </w:rPr>
        <w:t xml:space="preserve"> in both the Medicare and Medicaid EHR incentive programs, and retains the attestati</w:t>
      </w:r>
      <w:r>
        <w:rPr>
          <w:rFonts w:ascii="Arial" w:hAnsi="Arial" w:cs="Arial"/>
          <w:sz w:val="20"/>
          <w:szCs w:val="20"/>
        </w:rPr>
        <w:t>on process for Stage 2</w:t>
      </w:r>
      <w:r w:rsidRPr="00043837">
        <w:rPr>
          <w:rFonts w:ascii="Arial" w:hAnsi="Arial" w:cs="Arial"/>
          <w:sz w:val="20"/>
          <w:szCs w:val="20"/>
        </w:rPr>
        <w:t xml:space="preserve"> objectives.</w:t>
      </w:r>
      <w:r>
        <w:rPr>
          <w:rFonts w:ascii="Arial" w:hAnsi="Arial" w:cs="Arial"/>
          <w:sz w:val="20"/>
          <w:szCs w:val="20"/>
        </w:rPr>
        <w:t xml:space="preserve"> In 2014, </w:t>
      </w:r>
      <w:r>
        <w:rPr>
          <w:rFonts w:ascii="Arial" w:hAnsi="Arial" w:cs="Arial"/>
          <w:sz w:val="20"/>
          <w:szCs w:val="20"/>
        </w:rPr>
        <w:lastRenderedPageBreak/>
        <w:t xml:space="preserve">CMS will also allow a </w:t>
      </w:r>
      <w:r w:rsidR="000F6F95">
        <w:rPr>
          <w:rFonts w:ascii="Arial" w:hAnsi="Arial" w:cs="Arial"/>
          <w:sz w:val="20"/>
          <w:szCs w:val="20"/>
        </w:rPr>
        <w:t xml:space="preserve">new </w:t>
      </w:r>
      <w:r>
        <w:rPr>
          <w:rFonts w:ascii="Arial" w:hAnsi="Arial" w:cs="Arial"/>
          <w:sz w:val="20"/>
          <w:szCs w:val="20"/>
        </w:rPr>
        <w:t xml:space="preserve">batch file </w:t>
      </w:r>
      <w:r w:rsidRPr="00043837">
        <w:rPr>
          <w:rFonts w:ascii="Arial" w:hAnsi="Arial" w:cs="Arial"/>
          <w:sz w:val="20"/>
          <w:szCs w:val="20"/>
        </w:rPr>
        <w:t xml:space="preserve">process </w:t>
      </w:r>
      <w:r w:rsidR="000F6F95">
        <w:rPr>
          <w:rFonts w:ascii="Arial" w:hAnsi="Arial" w:cs="Arial"/>
          <w:sz w:val="20"/>
          <w:szCs w:val="20"/>
        </w:rPr>
        <w:t>that allows</w:t>
      </w:r>
      <w:r w:rsidRPr="00043837">
        <w:rPr>
          <w:rFonts w:ascii="Arial" w:hAnsi="Arial" w:cs="Arial"/>
          <w:sz w:val="20"/>
          <w:szCs w:val="20"/>
        </w:rPr>
        <w:t xml:space="preserve"> groups </w:t>
      </w:r>
      <w:r w:rsidR="000F6F95">
        <w:rPr>
          <w:rFonts w:ascii="Arial" w:hAnsi="Arial" w:cs="Arial"/>
          <w:sz w:val="20"/>
          <w:szCs w:val="20"/>
        </w:rPr>
        <w:t>of EPs participating in the program as individuals</w:t>
      </w:r>
      <w:r w:rsidR="00575D31">
        <w:rPr>
          <w:rFonts w:ascii="Arial" w:hAnsi="Arial" w:cs="Arial"/>
          <w:sz w:val="20"/>
          <w:szCs w:val="20"/>
        </w:rPr>
        <w:t>,</w:t>
      </w:r>
      <w:r w:rsidR="000F6F95">
        <w:rPr>
          <w:rFonts w:ascii="Arial" w:hAnsi="Arial" w:cs="Arial"/>
          <w:sz w:val="20"/>
          <w:szCs w:val="20"/>
        </w:rPr>
        <w:t xml:space="preserve"> </w:t>
      </w:r>
      <w:r w:rsidRPr="00043837">
        <w:rPr>
          <w:rFonts w:ascii="Arial" w:hAnsi="Arial" w:cs="Arial"/>
          <w:sz w:val="20"/>
          <w:szCs w:val="20"/>
        </w:rPr>
        <w:t xml:space="preserve">to submit core and menu objective information for </w:t>
      </w:r>
      <w:r w:rsidR="000F6F95">
        <w:rPr>
          <w:rFonts w:ascii="Arial" w:hAnsi="Arial" w:cs="Arial"/>
          <w:sz w:val="20"/>
          <w:szCs w:val="20"/>
        </w:rPr>
        <w:t>each Medicare EP at one time</w:t>
      </w:r>
      <w:r w:rsidR="00575D31">
        <w:rPr>
          <w:rFonts w:ascii="Arial" w:hAnsi="Arial" w:cs="Arial"/>
          <w:sz w:val="20"/>
          <w:szCs w:val="20"/>
        </w:rPr>
        <w:t>,</w:t>
      </w:r>
      <w:r w:rsidRPr="00043837">
        <w:rPr>
          <w:rFonts w:ascii="Arial" w:hAnsi="Arial" w:cs="Arial"/>
          <w:sz w:val="20"/>
          <w:szCs w:val="20"/>
        </w:rPr>
        <w:t xml:space="preserve"> including the stage of MU the individual EP is in </w:t>
      </w:r>
      <w:r w:rsidR="00575D31">
        <w:rPr>
          <w:rFonts w:ascii="Arial" w:hAnsi="Arial" w:cs="Arial"/>
          <w:sz w:val="20"/>
          <w:szCs w:val="20"/>
        </w:rPr>
        <w:t xml:space="preserve">(i.e. </w:t>
      </w:r>
      <w:r w:rsidRPr="00043837">
        <w:rPr>
          <w:rFonts w:ascii="Arial" w:hAnsi="Arial" w:cs="Arial"/>
          <w:sz w:val="20"/>
          <w:szCs w:val="20"/>
        </w:rPr>
        <w:t>numerator, denominator, exclusion, and yes/no information for each objective)</w:t>
      </w:r>
      <w:r w:rsidR="000F6F95">
        <w:rPr>
          <w:rFonts w:ascii="Arial" w:hAnsi="Arial" w:cs="Arial"/>
          <w:sz w:val="20"/>
          <w:szCs w:val="20"/>
        </w:rPr>
        <w:t>. G</w:t>
      </w:r>
      <w:r w:rsidRPr="00043837">
        <w:rPr>
          <w:rFonts w:ascii="Arial" w:hAnsi="Arial" w:cs="Arial"/>
          <w:sz w:val="20"/>
          <w:szCs w:val="20"/>
        </w:rPr>
        <w:t xml:space="preserve">roups will </w:t>
      </w:r>
      <w:r w:rsidR="000F6F95">
        <w:rPr>
          <w:rFonts w:ascii="Arial" w:hAnsi="Arial" w:cs="Arial"/>
          <w:sz w:val="20"/>
          <w:szCs w:val="20"/>
        </w:rPr>
        <w:t xml:space="preserve">also have the option to </w:t>
      </w:r>
      <w:r w:rsidR="00575D31">
        <w:rPr>
          <w:rFonts w:ascii="Arial" w:hAnsi="Arial" w:cs="Arial"/>
          <w:sz w:val="20"/>
          <w:szCs w:val="20"/>
        </w:rPr>
        <w:t xml:space="preserve">submit a </w:t>
      </w:r>
      <w:r w:rsidR="000F6F95">
        <w:rPr>
          <w:rFonts w:ascii="Arial" w:hAnsi="Arial" w:cs="Arial"/>
          <w:sz w:val="20"/>
          <w:szCs w:val="20"/>
        </w:rPr>
        <w:t>batch file</w:t>
      </w:r>
      <w:r w:rsidRPr="00043837">
        <w:rPr>
          <w:rFonts w:ascii="Arial" w:hAnsi="Arial" w:cs="Arial"/>
          <w:sz w:val="20"/>
          <w:szCs w:val="20"/>
        </w:rPr>
        <w:t>.</w:t>
      </w:r>
      <w:r w:rsidR="000F6F95">
        <w:rPr>
          <w:rFonts w:ascii="Arial" w:hAnsi="Arial" w:cs="Arial"/>
          <w:sz w:val="20"/>
          <w:szCs w:val="20"/>
        </w:rPr>
        <w:t xml:space="preserve"> </w:t>
      </w:r>
      <w:r w:rsidR="000F6F95" w:rsidRPr="000F6F95">
        <w:rPr>
          <w:rFonts w:ascii="Arial" w:hAnsi="Arial" w:cs="Arial"/>
          <w:b/>
          <w:sz w:val="20"/>
          <w:szCs w:val="20"/>
        </w:rPr>
        <w:t>Th</w:t>
      </w:r>
      <w:r w:rsidR="00575D31">
        <w:rPr>
          <w:rFonts w:ascii="Arial" w:hAnsi="Arial" w:cs="Arial"/>
          <w:b/>
          <w:sz w:val="20"/>
          <w:szCs w:val="20"/>
        </w:rPr>
        <w:t>e</w:t>
      </w:r>
      <w:r w:rsidR="000F6F95" w:rsidRPr="000F6F95">
        <w:rPr>
          <w:rFonts w:ascii="Arial" w:hAnsi="Arial" w:cs="Arial"/>
          <w:b/>
          <w:sz w:val="20"/>
          <w:szCs w:val="20"/>
        </w:rPr>
        <w:t xml:space="preserve"> </w:t>
      </w:r>
      <w:r w:rsidR="0007413C">
        <w:rPr>
          <w:rFonts w:ascii="Arial" w:hAnsi="Arial" w:cs="Arial"/>
          <w:b/>
          <w:sz w:val="20"/>
          <w:szCs w:val="20"/>
        </w:rPr>
        <w:t xml:space="preserve">batch file process </w:t>
      </w:r>
      <w:r w:rsidR="000F6F95" w:rsidRPr="000F6F95">
        <w:rPr>
          <w:rFonts w:ascii="Arial" w:hAnsi="Arial" w:cs="Arial"/>
          <w:b/>
          <w:sz w:val="20"/>
          <w:szCs w:val="20"/>
        </w:rPr>
        <w:t>is designed to reduce the administrat</w:t>
      </w:r>
      <w:r w:rsidR="0007413C">
        <w:rPr>
          <w:rFonts w:ascii="Arial" w:hAnsi="Arial" w:cs="Arial"/>
          <w:b/>
          <w:sz w:val="20"/>
          <w:szCs w:val="20"/>
        </w:rPr>
        <w:t xml:space="preserve">ive burden on offices reporting </w:t>
      </w:r>
      <w:r w:rsidR="000F6F95" w:rsidRPr="000F6F95">
        <w:rPr>
          <w:rFonts w:ascii="Arial" w:hAnsi="Arial" w:cs="Arial"/>
          <w:b/>
          <w:sz w:val="20"/>
          <w:szCs w:val="20"/>
        </w:rPr>
        <w:t xml:space="preserve">Meaningful Use measures to CMS, which </w:t>
      </w:r>
      <w:r w:rsidR="00D32853">
        <w:rPr>
          <w:rFonts w:ascii="Arial" w:hAnsi="Arial" w:cs="Arial"/>
          <w:b/>
          <w:sz w:val="20"/>
          <w:szCs w:val="20"/>
        </w:rPr>
        <w:t xml:space="preserve">is in response to </w:t>
      </w:r>
      <w:r w:rsidR="000F6F95" w:rsidRPr="000F6F95">
        <w:rPr>
          <w:rFonts w:ascii="Arial" w:hAnsi="Arial" w:cs="Arial"/>
          <w:b/>
          <w:sz w:val="20"/>
          <w:szCs w:val="20"/>
        </w:rPr>
        <w:t xml:space="preserve">the </w:t>
      </w:r>
      <w:proofErr w:type="spellStart"/>
      <w:r w:rsidR="000F6F95" w:rsidRPr="000F6F95">
        <w:rPr>
          <w:rFonts w:ascii="Arial" w:hAnsi="Arial" w:cs="Arial"/>
          <w:b/>
          <w:sz w:val="20"/>
          <w:szCs w:val="20"/>
        </w:rPr>
        <w:t>Academy</w:t>
      </w:r>
      <w:r w:rsidR="00D32853">
        <w:rPr>
          <w:rFonts w:ascii="Arial" w:hAnsi="Arial" w:cs="Arial"/>
          <w:b/>
          <w:sz w:val="20"/>
          <w:szCs w:val="20"/>
        </w:rPr>
        <w:t>’s</w:t>
      </w:r>
      <w:r w:rsidR="00575D31">
        <w:rPr>
          <w:rFonts w:ascii="Arial" w:hAnsi="Arial" w:cs="Arial"/>
          <w:b/>
          <w:sz w:val="20"/>
          <w:szCs w:val="20"/>
        </w:rPr>
        <w:t>request</w:t>
      </w:r>
      <w:proofErr w:type="spellEnd"/>
      <w:r w:rsidR="00575D31" w:rsidRPr="000F6F95">
        <w:rPr>
          <w:rFonts w:ascii="Arial" w:hAnsi="Arial" w:cs="Arial"/>
          <w:b/>
          <w:sz w:val="20"/>
          <w:szCs w:val="20"/>
        </w:rPr>
        <w:t xml:space="preserve"> </w:t>
      </w:r>
      <w:r w:rsidR="005305CF">
        <w:rPr>
          <w:rFonts w:ascii="Arial" w:hAnsi="Arial" w:cs="Arial"/>
          <w:b/>
          <w:sz w:val="20"/>
          <w:szCs w:val="20"/>
        </w:rPr>
        <w:t>in previous comments</w:t>
      </w:r>
      <w:r w:rsidR="000F6F95" w:rsidRPr="000F6F95">
        <w:rPr>
          <w:rFonts w:ascii="Arial" w:hAnsi="Arial" w:cs="Arial"/>
          <w:b/>
          <w:sz w:val="20"/>
          <w:szCs w:val="20"/>
        </w:rPr>
        <w:t>.</w:t>
      </w:r>
      <w:r w:rsidR="000F6F95">
        <w:rPr>
          <w:rFonts w:ascii="Arial" w:hAnsi="Arial" w:cs="Arial"/>
          <w:sz w:val="20"/>
          <w:szCs w:val="20"/>
        </w:rPr>
        <w:t xml:space="preserve"> </w:t>
      </w:r>
    </w:p>
    <w:p w:rsidR="00687B7B" w:rsidRDefault="00687B7B" w:rsidP="00B73DC2">
      <w:pPr>
        <w:autoSpaceDE w:val="0"/>
        <w:autoSpaceDN w:val="0"/>
        <w:adjustRightInd w:val="0"/>
        <w:rPr>
          <w:rFonts w:ascii="Arial" w:hAnsi="Arial" w:cs="Arial"/>
          <w:b/>
          <w:color w:val="C00000"/>
          <w:sz w:val="20"/>
          <w:szCs w:val="20"/>
          <w:u w:val="single"/>
        </w:rPr>
      </w:pPr>
    </w:p>
    <w:p w:rsidR="003D7D99" w:rsidRPr="00782192" w:rsidRDefault="00B1075F" w:rsidP="00B73DC2">
      <w:pPr>
        <w:autoSpaceDE w:val="0"/>
        <w:autoSpaceDN w:val="0"/>
        <w:adjustRightInd w:val="0"/>
        <w:rPr>
          <w:rFonts w:ascii="Arial" w:hAnsi="Arial" w:cs="Arial"/>
          <w:b/>
          <w:color w:val="C00000"/>
          <w:sz w:val="20"/>
          <w:szCs w:val="20"/>
          <w:u w:val="single"/>
        </w:rPr>
      </w:pPr>
      <w:r w:rsidRPr="00782192">
        <w:rPr>
          <w:rFonts w:ascii="Arial" w:hAnsi="Arial" w:cs="Arial"/>
          <w:b/>
          <w:color w:val="C00000"/>
          <w:sz w:val="20"/>
          <w:szCs w:val="20"/>
          <w:u w:val="single"/>
        </w:rPr>
        <w:t>Stage 2</w:t>
      </w:r>
      <w:r w:rsidR="003D7D99" w:rsidRPr="00782192">
        <w:rPr>
          <w:rFonts w:ascii="Arial" w:hAnsi="Arial" w:cs="Arial"/>
          <w:b/>
          <w:color w:val="C00000"/>
          <w:sz w:val="20"/>
          <w:szCs w:val="20"/>
          <w:u w:val="single"/>
        </w:rPr>
        <w:t xml:space="preserve"> Exemptions</w:t>
      </w:r>
    </w:p>
    <w:p w:rsidR="003D7D99" w:rsidRDefault="003D7D99" w:rsidP="00B73DC2">
      <w:pPr>
        <w:rPr>
          <w:rFonts w:ascii="Arial" w:hAnsi="Arial" w:cs="Arial"/>
          <w:sz w:val="20"/>
          <w:szCs w:val="20"/>
        </w:rPr>
      </w:pPr>
    </w:p>
    <w:p w:rsidR="00687B7B" w:rsidRPr="0007413C" w:rsidRDefault="00687B7B" w:rsidP="00B73DC2">
      <w:pPr>
        <w:rPr>
          <w:rFonts w:ascii="Arial" w:hAnsi="Arial" w:cs="Arial"/>
          <w:sz w:val="20"/>
          <w:szCs w:val="20"/>
        </w:rPr>
      </w:pPr>
      <w:r w:rsidRPr="008F5202">
        <w:rPr>
          <w:rFonts w:ascii="Arial" w:hAnsi="Arial" w:cs="Arial"/>
          <w:b/>
          <w:sz w:val="20"/>
          <w:szCs w:val="20"/>
        </w:rPr>
        <w:t xml:space="preserve">In Stage 2, there are </w:t>
      </w:r>
      <w:r w:rsidR="005D494A" w:rsidRPr="008F5202">
        <w:rPr>
          <w:rFonts w:ascii="Arial" w:hAnsi="Arial" w:cs="Arial"/>
          <w:b/>
          <w:sz w:val="20"/>
          <w:szCs w:val="20"/>
        </w:rPr>
        <w:t>five exceptions</w:t>
      </w:r>
      <w:r w:rsidRPr="008F5202">
        <w:rPr>
          <w:rFonts w:ascii="Arial" w:hAnsi="Arial" w:cs="Arial"/>
          <w:b/>
          <w:sz w:val="20"/>
          <w:szCs w:val="20"/>
        </w:rPr>
        <w:t xml:space="preserve"> available</w:t>
      </w:r>
      <w:r>
        <w:rPr>
          <w:rFonts w:ascii="Arial" w:hAnsi="Arial" w:cs="Arial"/>
          <w:sz w:val="20"/>
          <w:szCs w:val="20"/>
        </w:rPr>
        <w:t xml:space="preserve">. </w:t>
      </w:r>
      <w:r w:rsidRPr="00014861">
        <w:rPr>
          <w:rFonts w:ascii="Arial" w:hAnsi="Arial" w:cs="Arial"/>
          <w:sz w:val="20"/>
          <w:szCs w:val="20"/>
          <w:u w:val="single"/>
        </w:rPr>
        <w:t>If an EP is not granted one of these exemptions, they must meet me</w:t>
      </w:r>
      <w:r w:rsidR="0007413C" w:rsidRPr="00014861">
        <w:rPr>
          <w:rFonts w:ascii="Arial" w:hAnsi="Arial" w:cs="Arial"/>
          <w:sz w:val="20"/>
          <w:szCs w:val="20"/>
          <w:u w:val="single"/>
        </w:rPr>
        <w:t xml:space="preserve">aningful use or face a payment </w:t>
      </w:r>
      <w:r w:rsidR="008F5202">
        <w:rPr>
          <w:rFonts w:ascii="Arial" w:hAnsi="Arial" w:cs="Arial"/>
          <w:sz w:val="20"/>
          <w:szCs w:val="20"/>
          <w:u w:val="single"/>
        </w:rPr>
        <w:t>penalty</w:t>
      </w:r>
      <w:r w:rsidR="008F5202" w:rsidRPr="00014861">
        <w:rPr>
          <w:rFonts w:ascii="Arial" w:hAnsi="Arial" w:cs="Arial"/>
          <w:sz w:val="20"/>
          <w:szCs w:val="20"/>
          <w:u w:val="single"/>
        </w:rPr>
        <w:t xml:space="preserve"> </w:t>
      </w:r>
      <w:r w:rsidRPr="00014861">
        <w:rPr>
          <w:rFonts w:ascii="Arial" w:hAnsi="Arial" w:cs="Arial"/>
          <w:sz w:val="20"/>
          <w:szCs w:val="20"/>
          <w:u w:val="single"/>
        </w:rPr>
        <w:t>in 2015.</w:t>
      </w:r>
      <w:r>
        <w:rPr>
          <w:rFonts w:ascii="Arial" w:hAnsi="Arial" w:cs="Arial"/>
          <w:sz w:val="20"/>
          <w:szCs w:val="20"/>
        </w:rPr>
        <w:t xml:space="preserve"> </w:t>
      </w:r>
      <w:r w:rsidR="0007413C">
        <w:rPr>
          <w:rFonts w:ascii="Arial" w:hAnsi="Arial" w:cs="Arial"/>
          <w:sz w:val="20"/>
          <w:szCs w:val="20"/>
        </w:rPr>
        <w:t>These exemptions are designed with specific criteria that are difficult to meet</w:t>
      </w:r>
      <w:r w:rsidR="008F5202">
        <w:rPr>
          <w:rFonts w:ascii="Arial" w:hAnsi="Arial" w:cs="Arial"/>
          <w:sz w:val="20"/>
          <w:szCs w:val="20"/>
        </w:rPr>
        <w:t>,</w:t>
      </w:r>
      <w:r w:rsidR="0007413C">
        <w:rPr>
          <w:rFonts w:ascii="Arial" w:hAnsi="Arial" w:cs="Arial"/>
          <w:sz w:val="20"/>
          <w:szCs w:val="20"/>
        </w:rPr>
        <w:t xml:space="preserve"> and</w:t>
      </w:r>
      <w:r w:rsidR="008F5202">
        <w:rPr>
          <w:rFonts w:ascii="Arial" w:hAnsi="Arial" w:cs="Arial"/>
          <w:sz w:val="20"/>
          <w:szCs w:val="20"/>
        </w:rPr>
        <w:t xml:space="preserve"> are</w:t>
      </w:r>
      <w:r w:rsidR="0007413C">
        <w:rPr>
          <w:rFonts w:ascii="Arial" w:hAnsi="Arial" w:cs="Arial"/>
          <w:sz w:val="20"/>
          <w:szCs w:val="20"/>
        </w:rPr>
        <w:t xml:space="preserve"> often designed for specific circumstances or specialties (i.e. Specialist/ Provider Type designed for </w:t>
      </w:r>
      <w:r w:rsidR="0007413C" w:rsidRPr="00687B7B">
        <w:rPr>
          <w:rFonts w:ascii="Arial" w:hAnsi="Arial" w:cs="Arial"/>
          <w:sz w:val="20"/>
          <w:szCs w:val="20"/>
        </w:rPr>
        <w:t>radiology, anest</w:t>
      </w:r>
      <w:r w:rsidR="0007413C">
        <w:rPr>
          <w:rFonts w:ascii="Arial" w:hAnsi="Arial" w:cs="Arial"/>
          <w:sz w:val="20"/>
          <w:szCs w:val="20"/>
        </w:rPr>
        <w:t xml:space="preserve">hesiology, and pathology). </w:t>
      </w:r>
      <w:r w:rsidR="0007413C" w:rsidRPr="003E4D5F">
        <w:rPr>
          <w:rFonts w:ascii="Arial" w:hAnsi="Arial" w:cs="Arial"/>
          <w:b/>
          <w:sz w:val="20"/>
          <w:szCs w:val="20"/>
          <w:u w:val="single"/>
        </w:rPr>
        <w:t>Unless EPs are certain they meet an exemption, they should plan to participate in the Meaningful Use program.</w:t>
      </w:r>
      <w:r w:rsidR="0007413C">
        <w:rPr>
          <w:rFonts w:ascii="Arial" w:hAnsi="Arial" w:cs="Arial"/>
          <w:sz w:val="20"/>
          <w:szCs w:val="20"/>
        </w:rPr>
        <w:t xml:space="preserve"> </w:t>
      </w:r>
      <w:r w:rsidR="008F5202">
        <w:rPr>
          <w:rFonts w:ascii="Arial" w:hAnsi="Arial" w:cs="Arial"/>
          <w:sz w:val="20"/>
          <w:szCs w:val="20"/>
        </w:rPr>
        <w:t>The five exemptions are:</w:t>
      </w:r>
    </w:p>
    <w:p w:rsidR="00687B7B" w:rsidRDefault="00687B7B" w:rsidP="00B73DC2">
      <w:pPr>
        <w:rPr>
          <w:rFonts w:ascii="Arial" w:hAnsi="Arial" w:cs="Arial"/>
          <w:sz w:val="20"/>
          <w:szCs w:val="20"/>
        </w:rPr>
      </w:pPr>
    </w:p>
    <w:p w:rsidR="00687B7B" w:rsidRPr="00687B7B" w:rsidRDefault="00687B7B" w:rsidP="00B73DC2">
      <w:pPr>
        <w:pStyle w:val="Default"/>
        <w:numPr>
          <w:ilvl w:val="0"/>
          <w:numId w:val="8"/>
        </w:numPr>
        <w:rPr>
          <w:rFonts w:ascii="Arial" w:hAnsi="Arial" w:cs="Arial"/>
          <w:sz w:val="20"/>
          <w:szCs w:val="20"/>
        </w:rPr>
      </w:pPr>
      <w:r w:rsidRPr="00687B7B">
        <w:rPr>
          <w:rFonts w:ascii="Arial" w:hAnsi="Arial" w:cs="Arial"/>
          <w:b/>
          <w:bCs/>
          <w:sz w:val="20"/>
          <w:szCs w:val="20"/>
        </w:rPr>
        <w:t xml:space="preserve">Infrastructure </w:t>
      </w:r>
      <w:r w:rsidRPr="00687B7B">
        <w:rPr>
          <w:rFonts w:ascii="Arial" w:hAnsi="Arial" w:cs="Arial"/>
          <w:sz w:val="20"/>
          <w:szCs w:val="20"/>
        </w:rPr>
        <w:t xml:space="preserve">— EPs must demonstrate that they are in an area without sufficient internet access or face insurmountable barriers to obtaining infrastructure (e.g. lack of broadband). </w:t>
      </w:r>
    </w:p>
    <w:p w:rsidR="00687B7B" w:rsidRPr="00687B7B" w:rsidRDefault="00687B7B" w:rsidP="00B73DC2">
      <w:pPr>
        <w:pStyle w:val="Default"/>
        <w:numPr>
          <w:ilvl w:val="0"/>
          <w:numId w:val="8"/>
        </w:numPr>
        <w:rPr>
          <w:rFonts w:ascii="Arial" w:hAnsi="Arial" w:cs="Arial"/>
          <w:sz w:val="20"/>
          <w:szCs w:val="20"/>
        </w:rPr>
      </w:pPr>
      <w:r w:rsidRPr="00687B7B">
        <w:rPr>
          <w:rFonts w:ascii="Arial" w:hAnsi="Arial" w:cs="Arial"/>
          <w:b/>
          <w:bCs/>
          <w:sz w:val="20"/>
          <w:szCs w:val="20"/>
        </w:rPr>
        <w:t xml:space="preserve">New EPs </w:t>
      </w:r>
      <w:r w:rsidRPr="00687B7B">
        <w:rPr>
          <w:rFonts w:ascii="Arial" w:hAnsi="Arial" w:cs="Arial"/>
          <w:sz w:val="20"/>
          <w:szCs w:val="20"/>
        </w:rPr>
        <w:t>— New practicing EPs who have</w:t>
      </w:r>
      <w:r w:rsidR="008F5202">
        <w:rPr>
          <w:rFonts w:ascii="Arial" w:hAnsi="Arial" w:cs="Arial"/>
          <w:sz w:val="20"/>
          <w:szCs w:val="20"/>
        </w:rPr>
        <w:t xml:space="preserve"> not</w:t>
      </w:r>
      <w:r w:rsidRPr="00687B7B">
        <w:rPr>
          <w:rFonts w:ascii="Arial" w:hAnsi="Arial" w:cs="Arial"/>
          <w:sz w:val="20"/>
          <w:szCs w:val="20"/>
        </w:rPr>
        <w:t xml:space="preserve"> had time to become meaningful users can apply for a 2-year limited exception to payment adjustments. </w:t>
      </w:r>
    </w:p>
    <w:p w:rsidR="00687B7B" w:rsidRPr="00687B7B" w:rsidRDefault="00687B7B" w:rsidP="00B73DC2">
      <w:pPr>
        <w:pStyle w:val="Default"/>
        <w:numPr>
          <w:ilvl w:val="0"/>
          <w:numId w:val="8"/>
        </w:numPr>
        <w:rPr>
          <w:rFonts w:ascii="Arial" w:hAnsi="Arial" w:cs="Arial"/>
          <w:sz w:val="20"/>
          <w:szCs w:val="20"/>
        </w:rPr>
      </w:pPr>
      <w:r w:rsidRPr="00687B7B">
        <w:rPr>
          <w:rFonts w:ascii="Arial" w:hAnsi="Arial" w:cs="Arial"/>
          <w:b/>
          <w:bCs/>
          <w:sz w:val="20"/>
          <w:szCs w:val="20"/>
        </w:rPr>
        <w:t xml:space="preserve">Unforeseen Circumstances </w:t>
      </w:r>
      <w:r w:rsidRPr="00687B7B">
        <w:rPr>
          <w:rFonts w:ascii="Arial" w:hAnsi="Arial" w:cs="Arial"/>
          <w:sz w:val="20"/>
          <w:szCs w:val="20"/>
        </w:rPr>
        <w:t xml:space="preserve">— Examples may include a natural disaster or other unforeseeable barrier. </w:t>
      </w:r>
    </w:p>
    <w:p w:rsidR="00687B7B" w:rsidRDefault="00687B7B" w:rsidP="00B73DC2">
      <w:pPr>
        <w:pStyle w:val="Default"/>
        <w:numPr>
          <w:ilvl w:val="0"/>
          <w:numId w:val="8"/>
        </w:numPr>
        <w:rPr>
          <w:rFonts w:ascii="Arial" w:hAnsi="Arial" w:cs="Arial"/>
          <w:sz w:val="20"/>
          <w:szCs w:val="20"/>
        </w:rPr>
      </w:pPr>
      <w:r w:rsidRPr="00687B7B">
        <w:rPr>
          <w:rFonts w:ascii="Arial" w:hAnsi="Arial" w:cs="Arial"/>
          <w:b/>
          <w:bCs/>
          <w:sz w:val="20"/>
          <w:szCs w:val="20"/>
        </w:rPr>
        <w:t xml:space="preserve">By Specialist/Provider Type </w:t>
      </w:r>
      <w:r w:rsidRPr="00687B7B">
        <w:rPr>
          <w:rFonts w:ascii="Arial" w:hAnsi="Arial" w:cs="Arial"/>
          <w:sz w:val="20"/>
          <w:szCs w:val="20"/>
        </w:rPr>
        <w:t xml:space="preserve">— EPs must demonstrate the following criteria: </w:t>
      </w:r>
    </w:p>
    <w:p w:rsidR="00687B7B" w:rsidRPr="00687B7B" w:rsidRDefault="00687B7B" w:rsidP="00B73DC2">
      <w:pPr>
        <w:pStyle w:val="Default"/>
        <w:numPr>
          <w:ilvl w:val="1"/>
          <w:numId w:val="8"/>
        </w:numPr>
        <w:rPr>
          <w:rFonts w:ascii="Arial" w:hAnsi="Arial" w:cs="Arial"/>
          <w:sz w:val="20"/>
          <w:szCs w:val="20"/>
        </w:rPr>
      </w:pPr>
      <w:r w:rsidRPr="00687B7B">
        <w:rPr>
          <w:rFonts w:ascii="Arial" w:hAnsi="Arial" w:cs="Arial"/>
          <w:sz w:val="20"/>
          <w:szCs w:val="20"/>
        </w:rPr>
        <w:t>Lack of face-to-face or telemedicine interaction with patients</w:t>
      </w:r>
      <w:r w:rsidR="00BC232D">
        <w:rPr>
          <w:rFonts w:ascii="Arial" w:hAnsi="Arial" w:cs="Arial"/>
          <w:sz w:val="20"/>
          <w:szCs w:val="20"/>
        </w:rPr>
        <w:t>.</w:t>
      </w:r>
      <w:r w:rsidRPr="00687B7B">
        <w:rPr>
          <w:rFonts w:ascii="Arial" w:hAnsi="Arial" w:cs="Arial"/>
          <w:sz w:val="20"/>
          <w:szCs w:val="20"/>
        </w:rPr>
        <w:t xml:space="preserve"> </w:t>
      </w:r>
    </w:p>
    <w:p w:rsidR="00687B7B" w:rsidRDefault="00687B7B" w:rsidP="00B73DC2">
      <w:pPr>
        <w:pStyle w:val="Default"/>
        <w:numPr>
          <w:ilvl w:val="1"/>
          <w:numId w:val="8"/>
        </w:numPr>
        <w:rPr>
          <w:rFonts w:ascii="Arial" w:hAnsi="Arial" w:cs="Arial"/>
          <w:sz w:val="20"/>
          <w:szCs w:val="20"/>
        </w:rPr>
      </w:pPr>
      <w:r w:rsidRPr="00687B7B">
        <w:rPr>
          <w:rFonts w:ascii="Arial" w:hAnsi="Arial" w:cs="Arial"/>
          <w:sz w:val="20"/>
          <w:szCs w:val="20"/>
        </w:rPr>
        <w:t xml:space="preserve">Lack of follow-up need with patients </w:t>
      </w:r>
      <w:r>
        <w:rPr>
          <w:rFonts w:ascii="Arial" w:hAnsi="Arial" w:cs="Arial"/>
          <w:sz w:val="20"/>
          <w:szCs w:val="20"/>
        </w:rPr>
        <w:t>(</w:t>
      </w:r>
      <w:r w:rsidRPr="00687B7B">
        <w:rPr>
          <w:rFonts w:ascii="Arial" w:hAnsi="Arial" w:cs="Arial"/>
          <w:sz w:val="20"/>
          <w:szCs w:val="20"/>
        </w:rPr>
        <w:t>radiology, anest</w:t>
      </w:r>
      <w:r>
        <w:rPr>
          <w:rFonts w:ascii="Arial" w:hAnsi="Arial" w:cs="Arial"/>
          <w:sz w:val="20"/>
          <w:szCs w:val="20"/>
        </w:rPr>
        <w:t>hesiology, and pathology are</w:t>
      </w:r>
      <w:r w:rsidRPr="00687B7B">
        <w:rPr>
          <w:rFonts w:ascii="Arial" w:hAnsi="Arial" w:cs="Arial"/>
          <w:sz w:val="20"/>
          <w:szCs w:val="20"/>
        </w:rPr>
        <w:t xml:space="preserve"> exempt based on PECOS</w:t>
      </w:r>
      <w:r>
        <w:rPr>
          <w:rFonts w:ascii="Arial" w:hAnsi="Arial" w:cs="Arial"/>
          <w:sz w:val="20"/>
          <w:szCs w:val="20"/>
        </w:rPr>
        <w:t>)</w:t>
      </w:r>
      <w:r w:rsidR="005D494A">
        <w:rPr>
          <w:rFonts w:ascii="Arial" w:hAnsi="Arial" w:cs="Arial"/>
          <w:sz w:val="20"/>
          <w:szCs w:val="20"/>
        </w:rPr>
        <w:t>.</w:t>
      </w:r>
    </w:p>
    <w:p w:rsidR="005D494A" w:rsidRPr="00687B7B" w:rsidRDefault="005D494A" w:rsidP="005D494A">
      <w:pPr>
        <w:pStyle w:val="Default"/>
        <w:ind w:left="1440"/>
        <w:rPr>
          <w:rFonts w:ascii="Arial" w:hAnsi="Arial" w:cs="Arial"/>
          <w:sz w:val="20"/>
          <w:szCs w:val="20"/>
        </w:rPr>
      </w:pPr>
      <w:r>
        <w:rPr>
          <w:rFonts w:ascii="Arial" w:hAnsi="Arial" w:cs="Arial"/>
          <w:sz w:val="20"/>
          <w:szCs w:val="20"/>
        </w:rPr>
        <w:t>OR</w:t>
      </w:r>
    </w:p>
    <w:p w:rsidR="003D7D99" w:rsidRDefault="00687B7B" w:rsidP="00B73DC2">
      <w:pPr>
        <w:pStyle w:val="Default"/>
        <w:numPr>
          <w:ilvl w:val="1"/>
          <w:numId w:val="8"/>
        </w:numPr>
        <w:rPr>
          <w:rFonts w:ascii="Arial" w:hAnsi="Arial" w:cs="Arial"/>
          <w:sz w:val="20"/>
          <w:szCs w:val="20"/>
        </w:rPr>
      </w:pPr>
      <w:r w:rsidRPr="00687B7B">
        <w:rPr>
          <w:rFonts w:ascii="Arial" w:hAnsi="Arial" w:cs="Arial"/>
          <w:sz w:val="20"/>
          <w:szCs w:val="20"/>
        </w:rPr>
        <w:t>Lack of control over the availability of Certified EHR Technology at their practice location</w:t>
      </w:r>
      <w:r w:rsidR="00014861">
        <w:rPr>
          <w:rFonts w:ascii="Arial" w:hAnsi="Arial" w:cs="Arial"/>
          <w:sz w:val="20"/>
          <w:szCs w:val="20"/>
        </w:rPr>
        <w:t xml:space="preserve"> </w:t>
      </w:r>
      <w:r w:rsidRPr="00687B7B">
        <w:rPr>
          <w:rFonts w:ascii="Arial" w:hAnsi="Arial" w:cs="Arial"/>
          <w:sz w:val="20"/>
          <w:szCs w:val="20"/>
        </w:rPr>
        <w:t>(EPs who practice at multiple locations may be granted a hardship exception solely for lack of control over the availability of Certified EHR Technology)</w:t>
      </w:r>
      <w:r w:rsidR="00BC232D">
        <w:rPr>
          <w:rFonts w:ascii="Arial" w:hAnsi="Arial" w:cs="Arial"/>
          <w:sz w:val="20"/>
          <w:szCs w:val="20"/>
        </w:rPr>
        <w:t>.</w:t>
      </w:r>
      <w:r w:rsidRPr="00687B7B">
        <w:rPr>
          <w:rFonts w:ascii="Arial" w:hAnsi="Arial" w:cs="Arial"/>
          <w:sz w:val="20"/>
          <w:szCs w:val="20"/>
        </w:rPr>
        <w:t xml:space="preserve"> </w:t>
      </w:r>
    </w:p>
    <w:p w:rsidR="003D7D99" w:rsidRPr="00782192" w:rsidRDefault="003D7D99" w:rsidP="00B73DC2">
      <w:pPr>
        <w:rPr>
          <w:rFonts w:ascii="Arial" w:hAnsi="Arial" w:cs="Arial"/>
          <w:sz w:val="20"/>
          <w:szCs w:val="20"/>
        </w:rPr>
      </w:pPr>
    </w:p>
    <w:p w:rsidR="003D7D99" w:rsidRPr="00782192" w:rsidRDefault="003D7D99" w:rsidP="00B73DC2">
      <w:pPr>
        <w:rPr>
          <w:rFonts w:ascii="Arial" w:hAnsi="Arial" w:cs="Arial"/>
          <w:b/>
          <w:color w:val="C00000"/>
          <w:sz w:val="20"/>
          <w:szCs w:val="20"/>
          <w:u w:val="single"/>
        </w:rPr>
      </w:pPr>
      <w:r w:rsidRPr="00782192">
        <w:rPr>
          <w:rFonts w:ascii="Arial" w:hAnsi="Arial" w:cs="Arial"/>
          <w:b/>
          <w:color w:val="C00000"/>
          <w:sz w:val="20"/>
          <w:szCs w:val="20"/>
          <w:u w:val="single"/>
        </w:rPr>
        <w:t>Reporting Clinical Quality Measures Using EHR</w:t>
      </w:r>
      <w:r w:rsidR="00D125BA">
        <w:rPr>
          <w:rFonts w:ascii="Arial" w:hAnsi="Arial" w:cs="Arial"/>
          <w:b/>
          <w:color w:val="C00000"/>
          <w:sz w:val="20"/>
          <w:szCs w:val="20"/>
          <w:u w:val="single"/>
        </w:rPr>
        <w:t>s</w:t>
      </w:r>
    </w:p>
    <w:p w:rsidR="00591C2A" w:rsidRDefault="00591C2A" w:rsidP="00B73DC2">
      <w:pPr>
        <w:rPr>
          <w:rFonts w:ascii="Arial" w:hAnsi="Arial" w:cs="Arial"/>
          <w:b/>
          <w:color w:val="C00000"/>
          <w:sz w:val="20"/>
          <w:szCs w:val="20"/>
          <w:u w:val="single"/>
        </w:rPr>
      </w:pPr>
    </w:p>
    <w:p w:rsidR="00014861" w:rsidRDefault="00591C2A" w:rsidP="00B73DC2">
      <w:pPr>
        <w:rPr>
          <w:rFonts w:ascii="Arial" w:hAnsi="Arial" w:cs="Arial"/>
          <w:sz w:val="20"/>
          <w:szCs w:val="20"/>
        </w:rPr>
      </w:pPr>
      <w:r>
        <w:rPr>
          <w:rFonts w:ascii="Arial" w:hAnsi="Arial" w:cs="Arial"/>
          <w:sz w:val="20"/>
          <w:szCs w:val="20"/>
        </w:rPr>
        <w:t>A</w:t>
      </w:r>
      <w:r w:rsidRPr="00591C2A">
        <w:rPr>
          <w:rFonts w:ascii="Arial" w:hAnsi="Arial" w:cs="Arial"/>
          <w:sz w:val="20"/>
          <w:szCs w:val="20"/>
        </w:rPr>
        <w:t>ll providers are required to report o</w:t>
      </w:r>
      <w:r w:rsidR="00705D4B">
        <w:rPr>
          <w:rFonts w:ascii="Arial" w:hAnsi="Arial" w:cs="Arial"/>
          <w:sz w:val="20"/>
          <w:szCs w:val="20"/>
        </w:rPr>
        <w:t>n C</w:t>
      </w:r>
      <w:r w:rsidR="00D125BA">
        <w:rPr>
          <w:rFonts w:ascii="Arial" w:hAnsi="Arial" w:cs="Arial"/>
          <w:sz w:val="20"/>
          <w:szCs w:val="20"/>
        </w:rPr>
        <w:t xml:space="preserve">linical </w:t>
      </w:r>
      <w:r w:rsidR="00705D4B">
        <w:rPr>
          <w:rFonts w:ascii="Arial" w:hAnsi="Arial" w:cs="Arial"/>
          <w:sz w:val="20"/>
          <w:szCs w:val="20"/>
        </w:rPr>
        <w:t>Q</w:t>
      </w:r>
      <w:r w:rsidR="00D125BA">
        <w:rPr>
          <w:rFonts w:ascii="Arial" w:hAnsi="Arial" w:cs="Arial"/>
          <w:sz w:val="20"/>
          <w:szCs w:val="20"/>
        </w:rPr>
        <w:t xml:space="preserve">uality </w:t>
      </w:r>
      <w:r w:rsidR="00705D4B">
        <w:rPr>
          <w:rFonts w:ascii="Arial" w:hAnsi="Arial" w:cs="Arial"/>
          <w:sz w:val="20"/>
          <w:szCs w:val="20"/>
        </w:rPr>
        <w:t>M</w:t>
      </w:r>
      <w:r w:rsidR="00D125BA">
        <w:rPr>
          <w:rFonts w:ascii="Arial" w:hAnsi="Arial" w:cs="Arial"/>
          <w:sz w:val="20"/>
          <w:szCs w:val="20"/>
        </w:rPr>
        <w:t>easure</w:t>
      </w:r>
      <w:r w:rsidR="00705D4B">
        <w:rPr>
          <w:rFonts w:ascii="Arial" w:hAnsi="Arial" w:cs="Arial"/>
          <w:sz w:val="20"/>
          <w:szCs w:val="20"/>
        </w:rPr>
        <w:t>s</w:t>
      </w:r>
      <w:r w:rsidR="00D125BA">
        <w:rPr>
          <w:rFonts w:ascii="Arial" w:hAnsi="Arial" w:cs="Arial"/>
          <w:sz w:val="20"/>
          <w:szCs w:val="20"/>
        </w:rPr>
        <w:t xml:space="preserve"> (CQMs)</w:t>
      </w:r>
      <w:r w:rsidR="00705D4B">
        <w:rPr>
          <w:rFonts w:ascii="Arial" w:hAnsi="Arial" w:cs="Arial"/>
          <w:sz w:val="20"/>
          <w:szCs w:val="20"/>
        </w:rPr>
        <w:t xml:space="preserve"> in order to demonstrate Meaningful U</w:t>
      </w:r>
      <w:r w:rsidRPr="00591C2A">
        <w:rPr>
          <w:rFonts w:ascii="Arial" w:hAnsi="Arial" w:cs="Arial"/>
          <w:sz w:val="20"/>
          <w:szCs w:val="20"/>
        </w:rPr>
        <w:t>se.</w:t>
      </w:r>
      <w:r w:rsidR="000C35EC">
        <w:rPr>
          <w:rFonts w:ascii="Arial" w:hAnsi="Arial" w:cs="Arial"/>
          <w:sz w:val="20"/>
          <w:szCs w:val="20"/>
        </w:rPr>
        <w:t xml:space="preserve"> Starting in 2014, regardless of what stage of meaningful use an EP is in</w:t>
      </w:r>
      <w:r>
        <w:rPr>
          <w:rFonts w:ascii="Arial" w:hAnsi="Arial" w:cs="Arial"/>
          <w:sz w:val="20"/>
          <w:szCs w:val="20"/>
        </w:rPr>
        <w:t>,</w:t>
      </w:r>
      <w:r w:rsidR="0024355D">
        <w:rPr>
          <w:rFonts w:ascii="Arial" w:hAnsi="Arial" w:cs="Arial"/>
          <w:sz w:val="20"/>
          <w:szCs w:val="20"/>
        </w:rPr>
        <w:t xml:space="preserve"> </w:t>
      </w:r>
      <w:r w:rsidR="00705D4B">
        <w:rPr>
          <w:rFonts w:ascii="Arial" w:hAnsi="Arial" w:cs="Arial"/>
          <w:sz w:val="20"/>
          <w:szCs w:val="20"/>
        </w:rPr>
        <w:t xml:space="preserve">all participants will choose from the same uniform list of CQMs. </w:t>
      </w:r>
      <w:r w:rsidR="00705D4B" w:rsidRPr="00D125BA">
        <w:rPr>
          <w:rFonts w:ascii="Arial" w:hAnsi="Arial" w:cs="Arial"/>
          <w:b/>
          <w:sz w:val="20"/>
          <w:szCs w:val="20"/>
          <w:u w:val="single"/>
        </w:rPr>
        <w:t>Participants</w:t>
      </w:r>
      <w:r w:rsidR="00B73DC2" w:rsidRPr="00D125BA">
        <w:rPr>
          <w:rFonts w:ascii="Arial" w:hAnsi="Arial" w:cs="Arial"/>
          <w:b/>
          <w:sz w:val="20"/>
          <w:szCs w:val="20"/>
          <w:u w:val="single"/>
        </w:rPr>
        <w:t xml:space="preserve"> will choose from two CQM reporting options</w:t>
      </w:r>
      <w:r w:rsidR="00B73DC2">
        <w:rPr>
          <w:rFonts w:ascii="Arial" w:hAnsi="Arial" w:cs="Arial"/>
          <w:sz w:val="20"/>
          <w:szCs w:val="20"/>
        </w:rPr>
        <w:t xml:space="preserve">. </w:t>
      </w:r>
    </w:p>
    <w:p w:rsidR="00014861" w:rsidRDefault="00014861" w:rsidP="00B73DC2">
      <w:pPr>
        <w:rPr>
          <w:rFonts w:ascii="Arial" w:hAnsi="Arial" w:cs="Arial"/>
          <w:sz w:val="20"/>
          <w:szCs w:val="20"/>
        </w:rPr>
      </w:pPr>
    </w:p>
    <w:p w:rsidR="003E4D5F" w:rsidRPr="00591C2A" w:rsidRDefault="0024355D" w:rsidP="00B73DC2">
      <w:pPr>
        <w:rPr>
          <w:rFonts w:ascii="Arial" w:hAnsi="Arial" w:cs="Arial"/>
          <w:bCs/>
          <w:sz w:val="20"/>
          <w:szCs w:val="20"/>
        </w:rPr>
      </w:pPr>
      <w:r w:rsidRPr="00D125BA">
        <w:rPr>
          <w:rFonts w:ascii="Arial" w:hAnsi="Arial" w:cs="Arial"/>
          <w:b/>
          <w:sz w:val="20"/>
          <w:szCs w:val="20"/>
        </w:rPr>
        <w:t>Option 1</w:t>
      </w:r>
      <w:r>
        <w:rPr>
          <w:rFonts w:ascii="Arial" w:hAnsi="Arial" w:cs="Arial"/>
          <w:sz w:val="20"/>
          <w:szCs w:val="20"/>
        </w:rPr>
        <w:t xml:space="preserve"> requires EPs to report on 9 of 64 total CQMs. </w:t>
      </w:r>
      <w:r w:rsidR="00591C2A">
        <w:rPr>
          <w:rFonts w:ascii="Arial" w:hAnsi="Arial" w:cs="Arial"/>
          <w:bCs/>
          <w:sz w:val="20"/>
          <w:szCs w:val="20"/>
        </w:rPr>
        <w:t>A</w:t>
      </w:r>
      <w:r w:rsidR="00591C2A" w:rsidRPr="00591C2A">
        <w:rPr>
          <w:rFonts w:ascii="Arial" w:hAnsi="Arial" w:cs="Arial"/>
          <w:bCs/>
          <w:sz w:val="20"/>
          <w:szCs w:val="20"/>
        </w:rPr>
        <w:t>ll providers must select CQMs from at least 3 of the 6 key health care policy domains recommended by the Department of Health and Human Services’</w:t>
      </w:r>
      <w:r w:rsidR="00D125BA">
        <w:rPr>
          <w:rFonts w:ascii="Arial" w:hAnsi="Arial" w:cs="Arial"/>
          <w:bCs/>
          <w:sz w:val="20"/>
          <w:szCs w:val="20"/>
        </w:rPr>
        <w:t xml:space="preserve"> (HHS)</w:t>
      </w:r>
      <w:r w:rsidR="00591C2A" w:rsidRPr="00591C2A">
        <w:rPr>
          <w:rFonts w:ascii="Arial" w:hAnsi="Arial" w:cs="Arial"/>
          <w:bCs/>
          <w:sz w:val="20"/>
          <w:szCs w:val="20"/>
        </w:rPr>
        <w:t xml:space="preserve"> National Quality Strategy: </w:t>
      </w:r>
    </w:p>
    <w:p w:rsidR="00591C2A" w:rsidRPr="00591C2A" w:rsidRDefault="00591C2A" w:rsidP="00B73DC2">
      <w:pPr>
        <w:ind w:left="720"/>
        <w:rPr>
          <w:rFonts w:ascii="Arial" w:hAnsi="Arial" w:cs="Arial"/>
          <w:bCs/>
          <w:sz w:val="20"/>
          <w:szCs w:val="20"/>
        </w:rPr>
      </w:pPr>
      <w:r w:rsidRPr="00591C2A">
        <w:rPr>
          <w:rFonts w:ascii="Arial" w:hAnsi="Arial" w:cs="Arial"/>
          <w:bCs/>
          <w:sz w:val="20"/>
          <w:szCs w:val="20"/>
        </w:rPr>
        <w:t xml:space="preserve">1. Patient and Family Engagement </w:t>
      </w:r>
    </w:p>
    <w:p w:rsidR="00591C2A" w:rsidRPr="00591C2A" w:rsidRDefault="00591C2A" w:rsidP="00B73DC2">
      <w:pPr>
        <w:ind w:left="720"/>
        <w:rPr>
          <w:rFonts w:ascii="Arial" w:hAnsi="Arial" w:cs="Arial"/>
          <w:bCs/>
          <w:sz w:val="20"/>
          <w:szCs w:val="20"/>
        </w:rPr>
      </w:pPr>
      <w:r w:rsidRPr="00591C2A">
        <w:rPr>
          <w:rFonts w:ascii="Arial" w:hAnsi="Arial" w:cs="Arial"/>
          <w:bCs/>
          <w:sz w:val="20"/>
          <w:szCs w:val="20"/>
        </w:rPr>
        <w:t xml:space="preserve">2. Patient Safety </w:t>
      </w:r>
    </w:p>
    <w:p w:rsidR="00591C2A" w:rsidRPr="00591C2A" w:rsidRDefault="00591C2A" w:rsidP="00B73DC2">
      <w:pPr>
        <w:ind w:left="720"/>
        <w:rPr>
          <w:rFonts w:ascii="Arial" w:hAnsi="Arial" w:cs="Arial"/>
          <w:bCs/>
          <w:sz w:val="20"/>
          <w:szCs w:val="20"/>
        </w:rPr>
      </w:pPr>
      <w:r w:rsidRPr="00591C2A">
        <w:rPr>
          <w:rFonts w:ascii="Arial" w:hAnsi="Arial" w:cs="Arial"/>
          <w:bCs/>
          <w:sz w:val="20"/>
          <w:szCs w:val="20"/>
        </w:rPr>
        <w:t xml:space="preserve">3. Care Coordination </w:t>
      </w:r>
    </w:p>
    <w:p w:rsidR="00591C2A" w:rsidRPr="00591C2A" w:rsidRDefault="00591C2A" w:rsidP="00B73DC2">
      <w:pPr>
        <w:ind w:left="720"/>
        <w:rPr>
          <w:rFonts w:ascii="Arial" w:hAnsi="Arial" w:cs="Arial"/>
          <w:bCs/>
          <w:sz w:val="20"/>
          <w:szCs w:val="20"/>
        </w:rPr>
      </w:pPr>
      <w:r w:rsidRPr="00591C2A">
        <w:rPr>
          <w:rFonts w:ascii="Arial" w:hAnsi="Arial" w:cs="Arial"/>
          <w:bCs/>
          <w:sz w:val="20"/>
          <w:szCs w:val="20"/>
        </w:rPr>
        <w:t xml:space="preserve">4. Population and Public Health </w:t>
      </w:r>
    </w:p>
    <w:p w:rsidR="00591C2A" w:rsidRPr="00591C2A" w:rsidRDefault="00591C2A" w:rsidP="00B73DC2">
      <w:pPr>
        <w:ind w:left="720"/>
        <w:rPr>
          <w:rFonts w:ascii="Arial" w:hAnsi="Arial" w:cs="Arial"/>
          <w:bCs/>
          <w:sz w:val="20"/>
          <w:szCs w:val="20"/>
        </w:rPr>
      </w:pPr>
      <w:r w:rsidRPr="00591C2A">
        <w:rPr>
          <w:rFonts w:ascii="Arial" w:hAnsi="Arial" w:cs="Arial"/>
          <w:bCs/>
          <w:sz w:val="20"/>
          <w:szCs w:val="20"/>
        </w:rPr>
        <w:t xml:space="preserve">5. Efficient Use of Healthcare Resources </w:t>
      </w:r>
    </w:p>
    <w:p w:rsidR="00591C2A" w:rsidRPr="00591C2A" w:rsidRDefault="00591C2A" w:rsidP="00B73DC2">
      <w:pPr>
        <w:ind w:left="720"/>
        <w:rPr>
          <w:rFonts w:ascii="Arial" w:hAnsi="Arial" w:cs="Arial"/>
          <w:bCs/>
          <w:sz w:val="20"/>
          <w:szCs w:val="20"/>
        </w:rPr>
      </w:pPr>
      <w:r w:rsidRPr="00591C2A">
        <w:rPr>
          <w:rFonts w:ascii="Arial" w:hAnsi="Arial" w:cs="Arial"/>
          <w:bCs/>
          <w:sz w:val="20"/>
          <w:szCs w:val="20"/>
        </w:rPr>
        <w:t xml:space="preserve">6. Clinical Processes/Effectiveness </w:t>
      </w:r>
    </w:p>
    <w:p w:rsidR="00591C2A" w:rsidRPr="00591C2A" w:rsidRDefault="00591C2A" w:rsidP="00B73DC2">
      <w:pPr>
        <w:rPr>
          <w:rFonts w:ascii="Arial" w:hAnsi="Arial" w:cs="Arial"/>
          <w:sz w:val="20"/>
          <w:szCs w:val="20"/>
        </w:rPr>
      </w:pPr>
    </w:p>
    <w:p w:rsidR="0024355D" w:rsidRDefault="0024355D" w:rsidP="00B73DC2">
      <w:pPr>
        <w:rPr>
          <w:rFonts w:ascii="Arial" w:hAnsi="Arial" w:cs="Arial"/>
          <w:sz w:val="20"/>
          <w:szCs w:val="20"/>
        </w:rPr>
      </w:pPr>
      <w:r>
        <w:rPr>
          <w:rFonts w:ascii="Arial" w:hAnsi="Arial" w:cs="Arial"/>
          <w:sz w:val="20"/>
          <w:szCs w:val="20"/>
        </w:rPr>
        <w:t xml:space="preserve">CMS will not require reporting of a core set of CQMs, however, two recommended core </w:t>
      </w:r>
      <w:r w:rsidR="00974093">
        <w:rPr>
          <w:rFonts w:ascii="Arial" w:hAnsi="Arial" w:cs="Arial"/>
          <w:sz w:val="20"/>
          <w:szCs w:val="20"/>
        </w:rPr>
        <w:t>sets;</w:t>
      </w:r>
      <w:r>
        <w:rPr>
          <w:rFonts w:ascii="Arial" w:hAnsi="Arial" w:cs="Arial"/>
          <w:sz w:val="20"/>
          <w:szCs w:val="20"/>
        </w:rPr>
        <w:t xml:space="preserve"> one for adults and one for children have been identified. CMS encourages EPs to report on the recommended core sets to the extent those CQMs are applicable to the EPs scope of practice and patient population.</w:t>
      </w:r>
    </w:p>
    <w:p w:rsidR="00974093" w:rsidRDefault="00974093" w:rsidP="00B73DC2">
      <w:pPr>
        <w:rPr>
          <w:rFonts w:ascii="Arial" w:hAnsi="Arial" w:cs="Arial"/>
          <w:sz w:val="20"/>
          <w:szCs w:val="20"/>
        </w:rPr>
      </w:pPr>
    </w:p>
    <w:p w:rsidR="00974093" w:rsidRDefault="0024355D" w:rsidP="00B73DC2">
      <w:pPr>
        <w:rPr>
          <w:rFonts w:ascii="Arial" w:hAnsi="Arial" w:cs="Arial"/>
          <w:sz w:val="20"/>
          <w:szCs w:val="20"/>
        </w:rPr>
      </w:pPr>
      <w:r w:rsidRPr="00D125BA">
        <w:rPr>
          <w:rFonts w:ascii="Arial" w:hAnsi="Arial" w:cs="Arial"/>
          <w:b/>
          <w:sz w:val="20"/>
          <w:szCs w:val="20"/>
        </w:rPr>
        <w:t>Option 2</w:t>
      </w:r>
      <w:r>
        <w:rPr>
          <w:rFonts w:ascii="Arial" w:hAnsi="Arial" w:cs="Arial"/>
          <w:sz w:val="20"/>
          <w:szCs w:val="20"/>
        </w:rPr>
        <w:t xml:space="preserve"> allows E</w:t>
      </w:r>
      <w:r w:rsidR="00974093">
        <w:rPr>
          <w:rFonts w:ascii="Arial" w:hAnsi="Arial" w:cs="Arial"/>
          <w:sz w:val="20"/>
          <w:szCs w:val="20"/>
        </w:rPr>
        <w:t>Ps to submit and satisfy the CQM reporting component of meaningful use by reporting Physician Quality Reporting System (PQRS) CQMs</w:t>
      </w:r>
      <w:r>
        <w:rPr>
          <w:rFonts w:ascii="Arial" w:hAnsi="Arial" w:cs="Arial"/>
          <w:sz w:val="20"/>
          <w:szCs w:val="20"/>
        </w:rPr>
        <w:t xml:space="preserve"> </w:t>
      </w:r>
      <w:r w:rsidR="00974093">
        <w:rPr>
          <w:rFonts w:ascii="Arial" w:hAnsi="Arial" w:cs="Arial"/>
          <w:sz w:val="20"/>
          <w:szCs w:val="20"/>
        </w:rPr>
        <w:t xml:space="preserve">through the PQRS </w:t>
      </w:r>
      <w:r>
        <w:rPr>
          <w:rFonts w:ascii="Arial" w:hAnsi="Arial" w:cs="Arial"/>
          <w:sz w:val="20"/>
          <w:szCs w:val="20"/>
        </w:rPr>
        <w:t>EHR reporting option.</w:t>
      </w:r>
    </w:p>
    <w:p w:rsidR="00014861" w:rsidRDefault="00014861" w:rsidP="00B73DC2">
      <w:pPr>
        <w:rPr>
          <w:rFonts w:ascii="Arial" w:hAnsi="Arial" w:cs="Arial"/>
          <w:sz w:val="20"/>
          <w:szCs w:val="20"/>
        </w:rPr>
      </w:pPr>
    </w:p>
    <w:p w:rsidR="0024355D" w:rsidRDefault="00014861" w:rsidP="00B73DC2">
      <w:pPr>
        <w:rPr>
          <w:rFonts w:ascii="Arial" w:hAnsi="Arial" w:cs="Arial"/>
          <w:sz w:val="20"/>
          <w:szCs w:val="20"/>
        </w:rPr>
      </w:pPr>
      <w:r>
        <w:rPr>
          <w:rFonts w:ascii="Arial" w:hAnsi="Arial" w:cs="Arial"/>
          <w:b/>
          <w:sz w:val="20"/>
          <w:szCs w:val="20"/>
        </w:rPr>
        <w:t>In comments on the proposed rule, the Academy requested CMS offer EPs two options to report CQMs</w:t>
      </w:r>
      <w:r w:rsidR="00D125BA">
        <w:rPr>
          <w:rFonts w:ascii="Arial" w:hAnsi="Arial" w:cs="Arial"/>
          <w:b/>
          <w:sz w:val="20"/>
          <w:szCs w:val="20"/>
        </w:rPr>
        <w:t>,</w:t>
      </w:r>
      <w:r>
        <w:rPr>
          <w:rFonts w:ascii="Arial" w:hAnsi="Arial" w:cs="Arial"/>
          <w:b/>
          <w:sz w:val="20"/>
          <w:szCs w:val="20"/>
        </w:rPr>
        <w:t xml:space="preserve"> including choosing from a list of finalized measures and reporting through PQRS. </w:t>
      </w:r>
      <w:r>
        <w:rPr>
          <w:rFonts w:ascii="Arial" w:hAnsi="Arial" w:cs="Arial"/>
          <w:b/>
          <w:sz w:val="20"/>
          <w:szCs w:val="20"/>
        </w:rPr>
        <w:lastRenderedPageBreak/>
        <w:t>Although the Academy requested a lower number of required measures to report</w:t>
      </w:r>
      <w:r w:rsidR="00ED6840">
        <w:rPr>
          <w:rFonts w:ascii="Arial" w:hAnsi="Arial" w:cs="Arial"/>
          <w:b/>
          <w:sz w:val="20"/>
          <w:szCs w:val="20"/>
        </w:rPr>
        <w:t xml:space="preserve">, the Academy is concerned the number of CQMs, along with the finalized list, make it difficult for Otolaryngologists to report measures. </w:t>
      </w:r>
    </w:p>
    <w:p w:rsidR="00591C2A" w:rsidRDefault="00591C2A" w:rsidP="00B73DC2">
      <w:pPr>
        <w:rPr>
          <w:rFonts w:ascii="Arial" w:hAnsi="Arial" w:cs="Arial"/>
          <w:sz w:val="20"/>
          <w:szCs w:val="20"/>
        </w:rPr>
      </w:pPr>
    </w:p>
    <w:p w:rsidR="00591C2A" w:rsidRPr="00591C2A" w:rsidRDefault="00B73DC2" w:rsidP="00B73DC2">
      <w:pPr>
        <w:rPr>
          <w:rFonts w:ascii="Arial" w:hAnsi="Arial" w:cs="Arial"/>
          <w:sz w:val="20"/>
          <w:szCs w:val="20"/>
        </w:rPr>
      </w:pPr>
      <w:r>
        <w:rPr>
          <w:rFonts w:ascii="Arial" w:hAnsi="Arial" w:cs="Arial"/>
          <w:sz w:val="20"/>
          <w:szCs w:val="20"/>
        </w:rPr>
        <w:t xml:space="preserve">Starting in </w:t>
      </w:r>
      <w:r w:rsidR="00591C2A" w:rsidRPr="00591C2A">
        <w:rPr>
          <w:rFonts w:ascii="Arial" w:hAnsi="Arial" w:cs="Arial"/>
          <w:sz w:val="20"/>
          <w:szCs w:val="20"/>
        </w:rPr>
        <w:t>2014, all Medicare-</w:t>
      </w:r>
      <w:r w:rsidR="00591C2A">
        <w:rPr>
          <w:rFonts w:ascii="Arial" w:hAnsi="Arial" w:cs="Arial"/>
          <w:sz w:val="20"/>
          <w:szCs w:val="20"/>
        </w:rPr>
        <w:t>EPs</w:t>
      </w:r>
      <w:r w:rsidR="00591C2A" w:rsidRPr="00591C2A">
        <w:rPr>
          <w:rFonts w:ascii="Arial" w:hAnsi="Arial" w:cs="Arial"/>
          <w:sz w:val="20"/>
          <w:szCs w:val="20"/>
        </w:rPr>
        <w:t xml:space="preserve"> beyond their first year of demonstrating meaningful use must electronically report their CQM data to CMS.</w:t>
      </w:r>
      <w:r w:rsidR="00591C2A">
        <w:rPr>
          <w:rFonts w:ascii="Arial" w:hAnsi="Arial" w:cs="Arial"/>
          <w:sz w:val="20"/>
          <w:szCs w:val="20"/>
        </w:rPr>
        <w:t xml:space="preserve"> They will be able electronically</w:t>
      </w:r>
      <w:r w:rsidR="00D32853">
        <w:rPr>
          <w:rFonts w:ascii="Arial" w:hAnsi="Arial" w:cs="Arial"/>
          <w:sz w:val="20"/>
          <w:szCs w:val="20"/>
        </w:rPr>
        <w:t xml:space="preserve"> to</w:t>
      </w:r>
      <w:r w:rsidR="00591C2A">
        <w:rPr>
          <w:rFonts w:ascii="Arial" w:hAnsi="Arial" w:cs="Arial"/>
          <w:sz w:val="20"/>
          <w:szCs w:val="20"/>
        </w:rPr>
        <w:t xml:space="preserve"> report using PQRS (which will qualify them for EHR and PQRS requirements) or </w:t>
      </w:r>
      <w:r w:rsidR="00995CB4">
        <w:rPr>
          <w:rFonts w:ascii="Arial" w:hAnsi="Arial" w:cs="Arial"/>
          <w:sz w:val="20"/>
          <w:szCs w:val="20"/>
        </w:rPr>
        <w:t xml:space="preserve">via a </w:t>
      </w:r>
      <w:r w:rsidR="00591C2A" w:rsidRPr="00591C2A">
        <w:rPr>
          <w:rFonts w:ascii="Arial" w:hAnsi="Arial" w:cs="Arial"/>
          <w:sz w:val="20"/>
          <w:szCs w:val="20"/>
        </w:rPr>
        <w:t>CMS-designated transmission method—Electronic submission of aggregate-level data in Q</w:t>
      </w:r>
      <w:r w:rsidR="00591C2A">
        <w:rPr>
          <w:rFonts w:ascii="Arial" w:hAnsi="Arial" w:cs="Arial"/>
          <w:sz w:val="20"/>
          <w:szCs w:val="20"/>
        </w:rPr>
        <w:t xml:space="preserve">uality </w:t>
      </w:r>
      <w:r w:rsidR="00591C2A" w:rsidRPr="00591C2A">
        <w:rPr>
          <w:rFonts w:ascii="Arial" w:hAnsi="Arial" w:cs="Arial"/>
          <w:sz w:val="20"/>
          <w:szCs w:val="20"/>
        </w:rPr>
        <w:t>R</w:t>
      </w:r>
      <w:r w:rsidR="00591C2A">
        <w:rPr>
          <w:rFonts w:ascii="Arial" w:hAnsi="Arial" w:cs="Arial"/>
          <w:sz w:val="20"/>
          <w:szCs w:val="20"/>
        </w:rPr>
        <w:t xml:space="preserve">eporting </w:t>
      </w:r>
      <w:r w:rsidR="00591C2A" w:rsidRPr="00591C2A">
        <w:rPr>
          <w:rFonts w:ascii="Arial" w:hAnsi="Arial" w:cs="Arial"/>
          <w:sz w:val="20"/>
          <w:szCs w:val="20"/>
        </w:rPr>
        <w:t>D</w:t>
      </w:r>
      <w:r w:rsidR="00591C2A">
        <w:rPr>
          <w:rFonts w:ascii="Arial" w:hAnsi="Arial" w:cs="Arial"/>
          <w:sz w:val="20"/>
          <w:szCs w:val="20"/>
        </w:rPr>
        <w:t xml:space="preserve">ata </w:t>
      </w:r>
      <w:r w:rsidR="00591C2A" w:rsidRPr="00591C2A">
        <w:rPr>
          <w:rFonts w:ascii="Arial" w:hAnsi="Arial" w:cs="Arial"/>
          <w:sz w:val="20"/>
          <w:szCs w:val="20"/>
        </w:rPr>
        <w:t>A</w:t>
      </w:r>
      <w:r w:rsidR="00591C2A">
        <w:rPr>
          <w:rFonts w:ascii="Arial" w:hAnsi="Arial" w:cs="Arial"/>
          <w:sz w:val="20"/>
          <w:szCs w:val="20"/>
        </w:rPr>
        <w:t>rchitecture</w:t>
      </w:r>
      <w:r w:rsidR="00591C2A" w:rsidRPr="00591C2A">
        <w:rPr>
          <w:rFonts w:ascii="Arial" w:hAnsi="Arial" w:cs="Arial"/>
          <w:sz w:val="20"/>
          <w:szCs w:val="20"/>
        </w:rPr>
        <w:t xml:space="preserve"> </w:t>
      </w:r>
      <w:r w:rsidR="00591C2A">
        <w:rPr>
          <w:rFonts w:ascii="Arial" w:hAnsi="Arial" w:cs="Arial"/>
          <w:sz w:val="20"/>
          <w:szCs w:val="20"/>
        </w:rPr>
        <w:t xml:space="preserve">(QRDA) </w:t>
      </w:r>
      <w:r w:rsidR="00591C2A" w:rsidRPr="00591C2A">
        <w:rPr>
          <w:rFonts w:ascii="Arial" w:hAnsi="Arial" w:cs="Arial"/>
          <w:sz w:val="20"/>
          <w:szCs w:val="20"/>
        </w:rPr>
        <w:t xml:space="preserve">Category III format. </w:t>
      </w:r>
    </w:p>
    <w:p w:rsidR="00591C2A" w:rsidRPr="00782192" w:rsidRDefault="00591C2A" w:rsidP="00B73DC2">
      <w:pPr>
        <w:rPr>
          <w:rFonts w:ascii="Arial" w:hAnsi="Arial" w:cs="Arial"/>
          <w:b/>
          <w:color w:val="C00000"/>
          <w:sz w:val="20"/>
          <w:szCs w:val="20"/>
          <w:u w:val="single"/>
        </w:rPr>
      </w:pPr>
    </w:p>
    <w:p w:rsidR="003D7D99" w:rsidRPr="00782192" w:rsidRDefault="00F76776" w:rsidP="00B73DC2">
      <w:pPr>
        <w:rPr>
          <w:rFonts w:ascii="Arial" w:hAnsi="Arial" w:cs="Arial"/>
          <w:b/>
          <w:color w:val="C00000"/>
          <w:sz w:val="20"/>
          <w:szCs w:val="20"/>
          <w:u w:val="single"/>
        </w:rPr>
      </w:pPr>
      <w:r>
        <w:rPr>
          <w:rFonts w:ascii="Arial" w:hAnsi="Arial" w:cs="Arial"/>
          <w:b/>
          <w:color w:val="C00000"/>
          <w:sz w:val="20"/>
          <w:szCs w:val="20"/>
          <w:u w:val="single"/>
        </w:rPr>
        <w:t>Groups Reporting CQMs</w:t>
      </w:r>
    </w:p>
    <w:p w:rsidR="003D7D99" w:rsidRDefault="003D7D99" w:rsidP="00B73DC2">
      <w:pPr>
        <w:rPr>
          <w:rFonts w:ascii="Arial" w:hAnsi="Arial" w:cs="Arial"/>
          <w:b/>
          <w:color w:val="C00000"/>
          <w:sz w:val="20"/>
          <w:szCs w:val="20"/>
          <w:u w:val="single"/>
        </w:rPr>
      </w:pPr>
    </w:p>
    <w:p w:rsidR="003E4D5F" w:rsidRPr="00995CB4" w:rsidRDefault="0076247A" w:rsidP="00B73DC2">
      <w:pPr>
        <w:rPr>
          <w:rFonts w:ascii="Arial" w:hAnsi="Arial" w:cs="Arial"/>
          <w:b/>
          <w:sz w:val="20"/>
          <w:szCs w:val="20"/>
        </w:rPr>
      </w:pPr>
      <w:r w:rsidRPr="00995CB4">
        <w:rPr>
          <w:rFonts w:ascii="Arial" w:hAnsi="Arial" w:cs="Arial"/>
          <w:b/>
          <w:sz w:val="20"/>
          <w:szCs w:val="20"/>
        </w:rPr>
        <w:t xml:space="preserve">CMS </w:t>
      </w:r>
      <w:r w:rsidR="00F76776" w:rsidRPr="00995CB4">
        <w:rPr>
          <w:rFonts w:ascii="Arial" w:hAnsi="Arial" w:cs="Arial"/>
          <w:b/>
          <w:sz w:val="20"/>
          <w:szCs w:val="20"/>
        </w:rPr>
        <w:t>allows for two group reporting options for the reporting of CQMs:</w:t>
      </w:r>
    </w:p>
    <w:p w:rsidR="0076247A" w:rsidRPr="0076247A" w:rsidRDefault="0076247A" w:rsidP="00B73DC2">
      <w:pPr>
        <w:numPr>
          <w:ilvl w:val="0"/>
          <w:numId w:val="10"/>
        </w:numPr>
        <w:rPr>
          <w:rFonts w:ascii="Arial" w:hAnsi="Arial" w:cs="Arial"/>
          <w:sz w:val="20"/>
          <w:szCs w:val="20"/>
        </w:rPr>
      </w:pPr>
      <w:r w:rsidRPr="0076247A">
        <w:rPr>
          <w:rFonts w:ascii="Arial" w:hAnsi="Arial" w:cs="Arial"/>
          <w:sz w:val="20"/>
          <w:szCs w:val="20"/>
        </w:rPr>
        <w:t xml:space="preserve">Medicare EPs participating in Accountable Care Organization </w:t>
      </w:r>
      <w:r w:rsidR="00EA4F26">
        <w:rPr>
          <w:rFonts w:ascii="Arial" w:hAnsi="Arial" w:cs="Arial"/>
          <w:sz w:val="20"/>
          <w:szCs w:val="20"/>
        </w:rPr>
        <w:t xml:space="preserve">(ACO) </w:t>
      </w:r>
      <w:r w:rsidRPr="0076247A">
        <w:rPr>
          <w:rFonts w:ascii="Arial" w:hAnsi="Arial" w:cs="Arial"/>
          <w:sz w:val="20"/>
          <w:szCs w:val="20"/>
        </w:rPr>
        <w:t xml:space="preserve">Program </w:t>
      </w:r>
      <w:r w:rsidR="00995CB4">
        <w:rPr>
          <w:rFonts w:ascii="Arial" w:hAnsi="Arial" w:cs="Arial"/>
          <w:sz w:val="20"/>
          <w:szCs w:val="20"/>
        </w:rPr>
        <w:t>can</w:t>
      </w:r>
      <w:r w:rsidR="00995CB4" w:rsidRPr="0076247A">
        <w:rPr>
          <w:rFonts w:ascii="Arial" w:hAnsi="Arial" w:cs="Arial"/>
          <w:sz w:val="20"/>
          <w:szCs w:val="20"/>
        </w:rPr>
        <w:t xml:space="preserve"> </w:t>
      </w:r>
      <w:r w:rsidRPr="0076247A">
        <w:rPr>
          <w:rFonts w:ascii="Arial" w:hAnsi="Arial" w:cs="Arial"/>
          <w:sz w:val="20"/>
          <w:szCs w:val="20"/>
        </w:rPr>
        <w:t>satisfy their clinical quality measures reporting as a group. Although ACOs do not require EHRs, all data must be extracted from EHRs to qualify.  All EPs must still individually satisfy meaningful use objectives.</w:t>
      </w:r>
    </w:p>
    <w:p w:rsidR="0076247A" w:rsidRDefault="0076247A" w:rsidP="00B73DC2">
      <w:pPr>
        <w:numPr>
          <w:ilvl w:val="0"/>
          <w:numId w:val="10"/>
        </w:numPr>
        <w:rPr>
          <w:rFonts w:ascii="Arial" w:hAnsi="Arial" w:cs="Arial"/>
          <w:sz w:val="20"/>
          <w:szCs w:val="20"/>
        </w:rPr>
      </w:pPr>
      <w:r w:rsidRPr="0076247A">
        <w:rPr>
          <w:rFonts w:ascii="Arial" w:hAnsi="Arial" w:cs="Arial"/>
          <w:sz w:val="20"/>
          <w:szCs w:val="20"/>
        </w:rPr>
        <w:t>Medicare EPs that successfully report PQRS clinical measures using EHR technology would satisfy their clinical quality measures reporting as a group. EPs that use this group reporting measure would be required to comply with all future PQRS changes. All EPs must still individually satisfy meaningful use objectives.</w:t>
      </w:r>
    </w:p>
    <w:p w:rsidR="001E6D84" w:rsidRDefault="001E6D84" w:rsidP="00B73DC2">
      <w:pPr>
        <w:rPr>
          <w:rFonts w:ascii="Arial" w:hAnsi="Arial" w:cs="Arial"/>
          <w:sz w:val="20"/>
          <w:szCs w:val="20"/>
        </w:rPr>
      </w:pPr>
    </w:p>
    <w:p w:rsidR="001E6D84" w:rsidRPr="00EA4F26" w:rsidRDefault="00EA4F26" w:rsidP="00B73DC2">
      <w:pPr>
        <w:rPr>
          <w:rFonts w:ascii="Arial" w:hAnsi="Arial" w:cs="Arial"/>
          <w:b/>
          <w:sz w:val="20"/>
          <w:szCs w:val="20"/>
        </w:rPr>
      </w:pPr>
      <w:r>
        <w:rPr>
          <w:rFonts w:ascii="Arial" w:hAnsi="Arial" w:cs="Arial"/>
          <w:b/>
          <w:sz w:val="20"/>
          <w:szCs w:val="20"/>
        </w:rPr>
        <w:t>The Academy is supportive of efforts by CMS to more closely align Meaningful Use requirements with other CMS programs</w:t>
      </w:r>
      <w:r w:rsidR="00995CB4">
        <w:rPr>
          <w:rFonts w:ascii="Arial" w:hAnsi="Arial" w:cs="Arial"/>
          <w:b/>
          <w:sz w:val="20"/>
          <w:szCs w:val="20"/>
        </w:rPr>
        <w:t>,</w:t>
      </w:r>
      <w:r>
        <w:rPr>
          <w:rFonts w:ascii="Arial" w:hAnsi="Arial" w:cs="Arial"/>
          <w:b/>
          <w:sz w:val="20"/>
          <w:szCs w:val="20"/>
        </w:rPr>
        <w:t xml:space="preserve"> </w:t>
      </w:r>
      <w:r w:rsidR="00995CB4">
        <w:rPr>
          <w:rFonts w:ascii="Arial" w:hAnsi="Arial" w:cs="Arial"/>
          <w:b/>
          <w:sz w:val="20"/>
          <w:szCs w:val="20"/>
        </w:rPr>
        <w:t xml:space="preserve">such </w:t>
      </w:r>
      <w:r w:rsidR="00ED6840">
        <w:rPr>
          <w:rFonts w:ascii="Arial" w:hAnsi="Arial" w:cs="Arial"/>
          <w:b/>
          <w:sz w:val="20"/>
          <w:szCs w:val="20"/>
        </w:rPr>
        <w:t>as the</w:t>
      </w:r>
      <w:r>
        <w:rPr>
          <w:rFonts w:ascii="Arial" w:hAnsi="Arial" w:cs="Arial"/>
          <w:b/>
          <w:sz w:val="20"/>
          <w:szCs w:val="20"/>
        </w:rPr>
        <w:t xml:space="preserve"> ACO program and PQRS. </w:t>
      </w:r>
    </w:p>
    <w:p w:rsidR="0076247A" w:rsidRPr="00AF7305" w:rsidRDefault="0076247A" w:rsidP="00B73DC2">
      <w:pPr>
        <w:rPr>
          <w:sz w:val="16"/>
          <w:szCs w:val="16"/>
        </w:rPr>
      </w:pPr>
    </w:p>
    <w:p w:rsidR="00F76776" w:rsidRDefault="00F76776" w:rsidP="00B73DC2">
      <w:pPr>
        <w:rPr>
          <w:rFonts w:ascii="Arial" w:hAnsi="Arial" w:cs="Arial"/>
          <w:b/>
          <w:color w:val="C00000"/>
          <w:sz w:val="20"/>
          <w:szCs w:val="20"/>
          <w:u w:val="single"/>
        </w:rPr>
      </w:pPr>
      <w:r w:rsidRPr="00F76776">
        <w:rPr>
          <w:rFonts w:ascii="Arial" w:hAnsi="Arial" w:cs="Arial"/>
          <w:b/>
          <w:color w:val="C00000"/>
          <w:sz w:val="20"/>
          <w:szCs w:val="20"/>
          <w:u w:val="single"/>
        </w:rPr>
        <w:t>Penalties</w:t>
      </w:r>
      <w:r>
        <w:rPr>
          <w:rFonts w:ascii="Arial" w:hAnsi="Arial" w:cs="Arial"/>
          <w:b/>
          <w:color w:val="C00000"/>
          <w:sz w:val="20"/>
          <w:szCs w:val="20"/>
          <w:u w:val="single"/>
        </w:rPr>
        <w:t xml:space="preserve"> for not Meeting Meaningful Use</w:t>
      </w:r>
    </w:p>
    <w:p w:rsidR="00F76776" w:rsidRDefault="00F76776" w:rsidP="00B73DC2">
      <w:pPr>
        <w:rPr>
          <w:rFonts w:ascii="Arial" w:hAnsi="Arial" w:cs="Arial"/>
          <w:b/>
          <w:color w:val="C00000"/>
          <w:sz w:val="20"/>
          <w:szCs w:val="20"/>
          <w:u w:val="single"/>
        </w:rPr>
      </w:pPr>
    </w:p>
    <w:p w:rsidR="00F76776" w:rsidRDefault="007F6479" w:rsidP="00B73DC2">
      <w:pPr>
        <w:rPr>
          <w:rFonts w:ascii="Arial" w:hAnsi="Arial" w:cs="Arial"/>
          <w:sz w:val="20"/>
          <w:szCs w:val="20"/>
        </w:rPr>
      </w:pPr>
      <w:r w:rsidRPr="00DE2A84">
        <w:rPr>
          <w:rFonts w:ascii="Arial" w:hAnsi="Arial" w:cs="Arial"/>
          <w:b/>
          <w:sz w:val="20"/>
          <w:szCs w:val="20"/>
        </w:rPr>
        <w:t>Beginning in 2015, EPs that do not successfully meet meaningful use requirements will be</w:t>
      </w:r>
      <w:r w:rsidR="00201D48" w:rsidRPr="00DE2A84">
        <w:rPr>
          <w:rFonts w:ascii="Arial" w:hAnsi="Arial" w:cs="Arial"/>
          <w:b/>
          <w:sz w:val="20"/>
          <w:szCs w:val="20"/>
        </w:rPr>
        <w:t xml:space="preserve"> subject to a payment penalty</w:t>
      </w:r>
      <w:r w:rsidR="00201D48">
        <w:rPr>
          <w:rFonts w:ascii="Arial" w:hAnsi="Arial" w:cs="Arial"/>
          <w:sz w:val="20"/>
          <w:szCs w:val="20"/>
        </w:rPr>
        <w:t>.</w:t>
      </w:r>
      <w:r w:rsidR="00345D6C">
        <w:rPr>
          <w:rFonts w:ascii="Arial" w:hAnsi="Arial" w:cs="Arial"/>
          <w:sz w:val="20"/>
          <w:szCs w:val="20"/>
        </w:rPr>
        <w:t xml:space="preserve"> </w:t>
      </w:r>
      <w:r w:rsidR="00A0057D">
        <w:rPr>
          <w:rFonts w:ascii="Arial" w:hAnsi="Arial" w:cs="Arial"/>
          <w:sz w:val="20"/>
          <w:szCs w:val="20"/>
        </w:rPr>
        <w:t xml:space="preserve">Like the PQRS program, penalties for each calendar year, which begin in 2015, </w:t>
      </w:r>
      <w:r w:rsidR="00DE2A84">
        <w:rPr>
          <w:rFonts w:ascii="Arial" w:hAnsi="Arial" w:cs="Arial"/>
          <w:sz w:val="20"/>
          <w:szCs w:val="20"/>
        </w:rPr>
        <w:t xml:space="preserve">and </w:t>
      </w:r>
      <w:r w:rsidR="00A0057D">
        <w:rPr>
          <w:rFonts w:ascii="Arial" w:hAnsi="Arial" w:cs="Arial"/>
          <w:sz w:val="20"/>
          <w:szCs w:val="20"/>
        </w:rPr>
        <w:t xml:space="preserve">are based on reporting two years prior (e.g. 2015 penalty is based on whether or not an EP successfully reported in 2013). </w:t>
      </w:r>
      <w:r w:rsidR="00345D6C">
        <w:rPr>
          <w:rFonts w:ascii="Arial" w:hAnsi="Arial" w:cs="Arial"/>
          <w:sz w:val="20"/>
          <w:szCs w:val="20"/>
        </w:rPr>
        <w:t xml:space="preserve">This penalty will increase </w:t>
      </w:r>
      <w:r w:rsidR="00A0057D">
        <w:rPr>
          <w:rFonts w:ascii="Arial" w:hAnsi="Arial" w:cs="Arial"/>
          <w:sz w:val="20"/>
          <w:szCs w:val="20"/>
        </w:rPr>
        <w:t xml:space="preserve">annually </w:t>
      </w:r>
      <w:r w:rsidR="00345D6C">
        <w:rPr>
          <w:rFonts w:ascii="Arial" w:hAnsi="Arial" w:cs="Arial"/>
          <w:sz w:val="20"/>
          <w:szCs w:val="20"/>
        </w:rPr>
        <w:t>for EPs that do not successfully attest to Meaningful Use.</w:t>
      </w:r>
      <w:r>
        <w:rPr>
          <w:rFonts w:ascii="Arial" w:hAnsi="Arial" w:cs="Arial"/>
          <w:sz w:val="20"/>
          <w:szCs w:val="20"/>
        </w:rPr>
        <w:t xml:space="preserve"> </w:t>
      </w:r>
    </w:p>
    <w:p w:rsidR="007F6479" w:rsidRPr="00AF7305" w:rsidRDefault="007F6479" w:rsidP="00B73DC2">
      <w:pPr>
        <w:rPr>
          <w:rFonts w:ascii="Arial" w:hAnsi="Arial" w:cs="Arial"/>
          <w:sz w:val="16"/>
          <w:szCs w:val="16"/>
        </w:rPr>
      </w:pPr>
    </w:p>
    <w:p w:rsidR="007F6479" w:rsidRDefault="00201D48" w:rsidP="00B73DC2">
      <w:pPr>
        <w:rPr>
          <w:rFonts w:ascii="Arial" w:hAnsi="Arial" w:cs="Arial"/>
          <w:sz w:val="20"/>
          <w:szCs w:val="20"/>
        </w:rPr>
      </w:pPr>
      <w:r>
        <w:rPr>
          <w:rFonts w:ascii="Arial" w:hAnsi="Arial" w:cs="Arial"/>
          <w:sz w:val="20"/>
          <w:szCs w:val="20"/>
        </w:rPr>
        <w:t xml:space="preserve">The chart below shows penalties for EPs </w:t>
      </w:r>
      <w:r w:rsidR="00A0057D">
        <w:rPr>
          <w:rFonts w:ascii="Arial" w:hAnsi="Arial" w:cs="Arial"/>
          <w:sz w:val="20"/>
          <w:szCs w:val="20"/>
        </w:rPr>
        <w:t>that do not attest to</w:t>
      </w:r>
      <w:r w:rsidR="005736C2">
        <w:rPr>
          <w:rFonts w:ascii="Arial" w:hAnsi="Arial" w:cs="Arial"/>
          <w:sz w:val="20"/>
          <w:szCs w:val="20"/>
        </w:rPr>
        <w:t xml:space="preserve"> </w:t>
      </w:r>
      <w:r>
        <w:rPr>
          <w:rFonts w:ascii="Arial" w:hAnsi="Arial" w:cs="Arial"/>
          <w:sz w:val="20"/>
          <w:szCs w:val="20"/>
        </w:rPr>
        <w:t xml:space="preserve">meaningful use for </w:t>
      </w:r>
      <w:r w:rsidR="005736C2">
        <w:rPr>
          <w:rFonts w:ascii="Arial" w:hAnsi="Arial" w:cs="Arial"/>
          <w:sz w:val="20"/>
          <w:szCs w:val="20"/>
        </w:rPr>
        <w:t xml:space="preserve">future </w:t>
      </w:r>
      <w:r>
        <w:rPr>
          <w:rFonts w:ascii="Arial" w:hAnsi="Arial" w:cs="Arial"/>
          <w:sz w:val="20"/>
          <w:szCs w:val="20"/>
        </w:rPr>
        <w:t>calendar year</w:t>
      </w:r>
      <w:r w:rsidR="005736C2">
        <w:rPr>
          <w:rFonts w:ascii="Arial" w:hAnsi="Arial" w:cs="Arial"/>
          <w:sz w:val="20"/>
          <w:szCs w:val="20"/>
        </w:rPr>
        <w:t>s</w:t>
      </w:r>
      <w:r w:rsidR="00A0057D">
        <w:rPr>
          <w:rFonts w:ascii="Arial" w:hAnsi="Arial" w:cs="Arial"/>
          <w:sz w:val="20"/>
          <w:szCs w:val="20"/>
        </w:rPr>
        <w:t>, assuming more than 75 percent of all EPs nationally are successful meaningful users by 2018.</w:t>
      </w:r>
    </w:p>
    <w:p w:rsidR="00201D48" w:rsidRPr="00AF7305" w:rsidRDefault="00201D48" w:rsidP="00B73DC2">
      <w:pPr>
        <w:rPr>
          <w:rFonts w:ascii="Arial" w:hAnsi="Arial" w:cs="Arial"/>
          <w:sz w:val="16"/>
          <w:szCs w:val="16"/>
        </w:rPr>
      </w:pPr>
    </w:p>
    <w:tbl>
      <w:tblPr>
        <w:tblStyle w:val="TableGrid"/>
        <w:tblW w:w="10440" w:type="dxa"/>
        <w:tblInd w:w="-522" w:type="dxa"/>
        <w:tblLook w:val="04A0"/>
      </w:tblPr>
      <w:tblGrid>
        <w:gridCol w:w="2250"/>
        <w:gridCol w:w="1350"/>
        <w:gridCol w:w="1350"/>
        <w:gridCol w:w="1350"/>
        <w:gridCol w:w="1350"/>
        <w:gridCol w:w="1350"/>
        <w:gridCol w:w="1440"/>
      </w:tblGrid>
      <w:tr w:rsidR="00201D48" w:rsidTr="00BB1CC3">
        <w:tc>
          <w:tcPr>
            <w:tcW w:w="10440" w:type="dxa"/>
            <w:gridSpan w:val="7"/>
          </w:tcPr>
          <w:p w:rsidR="00AF7305" w:rsidRDefault="00201D48" w:rsidP="00A0057D">
            <w:pPr>
              <w:jc w:val="center"/>
              <w:rPr>
                <w:rFonts w:ascii="Arial" w:hAnsi="Arial" w:cs="Arial"/>
                <w:b/>
                <w:bCs/>
                <w:sz w:val="20"/>
                <w:szCs w:val="20"/>
              </w:rPr>
            </w:pPr>
            <w:r w:rsidRPr="0019254F">
              <w:rPr>
                <w:rFonts w:ascii="Arial" w:hAnsi="Arial" w:cs="Arial"/>
                <w:b/>
                <w:bCs/>
                <w:sz w:val="20"/>
                <w:szCs w:val="20"/>
              </w:rPr>
              <w:t xml:space="preserve">% PENALTY ASSUMING MORE THAN 75 PERCENT OF </w:t>
            </w:r>
            <w:r w:rsidR="00AF7305">
              <w:rPr>
                <w:rFonts w:ascii="Arial" w:hAnsi="Arial" w:cs="Arial"/>
                <w:b/>
                <w:bCs/>
                <w:sz w:val="20"/>
                <w:szCs w:val="20"/>
              </w:rPr>
              <w:t xml:space="preserve">ALL </w:t>
            </w:r>
            <w:r w:rsidRPr="0019254F">
              <w:rPr>
                <w:rFonts w:ascii="Arial" w:hAnsi="Arial" w:cs="Arial"/>
                <w:b/>
                <w:bCs/>
                <w:sz w:val="20"/>
                <w:szCs w:val="20"/>
              </w:rPr>
              <w:t>EPs</w:t>
            </w:r>
          </w:p>
          <w:p w:rsidR="00201D48" w:rsidRPr="0019254F" w:rsidRDefault="00AF7305" w:rsidP="00A0057D">
            <w:pPr>
              <w:jc w:val="center"/>
              <w:rPr>
                <w:rFonts w:ascii="Arial" w:hAnsi="Arial" w:cs="Arial"/>
                <w:b/>
                <w:sz w:val="20"/>
                <w:szCs w:val="20"/>
              </w:rPr>
            </w:pPr>
            <w:r>
              <w:rPr>
                <w:rFonts w:ascii="Arial" w:hAnsi="Arial" w:cs="Arial"/>
                <w:b/>
                <w:bCs/>
                <w:sz w:val="20"/>
                <w:szCs w:val="20"/>
              </w:rPr>
              <w:t xml:space="preserve">NATIONALLY </w:t>
            </w:r>
            <w:r w:rsidR="00201D48" w:rsidRPr="0019254F">
              <w:rPr>
                <w:rFonts w:ascii="Arial" w:hAnsi="Arial" w:cs="Arial"/>
                <w:b/>
                <w:bCs/>
                <w:sz w:val="20"/>
                <w:szCs w:val="20"/>
              </w:rPr>
              <w:t xml:space="preserve">ARE </w:t>
            </w:r>
            <w:r w:rsidR="00345D6C">
              <w:rPr>
                <w:rFonts w:ascii="Arial" w:hAnsi="Arial" w:cs="Arial"/>
                <w:b/>
                <w:bCs/>
                <w:sz w:val="20"/>
                <w:szCs w:val="20"/>
              </w:rPr>
              <w:t xml:space="preserve">SUCCESSFUL </w:t>
            </w:r>
            <w:r w:rsidR="00201D48" w:rsidRPr="0019254F">
              <w:rPr>
                <w:rFonts w:ascii="Arial" w:hAnsi="Arial" w:cs="Arial"/>
                <w:b/>
                <w:bCs/>
                <w:sz w:val="20"/>
                <w:szCs w:val="20"/>
              </w:rPr>
              <w:t>MEANINGFUL USERS</w:t>
            </w:r>
          </w:p>
        </w:tc>
      </w:tr>
      <w:tr w:rsidR="00201D48" w:rsidTr="00BB1CC3">
        <w:tc>
          <w:tcPr>
            <w:tcW w:w="2250" w:type="dxa"/>
          </w:tcPr>
          <w:p w:rsidR="00201D48" w:rsidRDefault="00201D48" w:rsidP="00B73DC2">
            <w:pPr>
              <w:rPr>
                <w:rFonts w:ascii="Arial" w:hAnsi="Arial" w:cs="Arial"/>
                <w:sz w:val="20"/>
                <w:szCs w:val="20"/>
              </w:rPr>
            </w:pPr>
          </w:p>
        </w:tc>
        <w:tc>
          <w:tcPr>
            <w:tcW w:w="1350" w:type="dxa"/>
          </w:tcPr>
          <w:p w:rsidR="003453B5" w:rsidRDefault="00201D48">
            <w:pPr>
              <w:jc w:val="center"/>
              <w:rPr>
                <w:rFonts w:ascii="Arial" w:hAnsi="Arial" w:cs="Arial"/>
                <w:sz w:val="20"/>
                <w:szCs w:val="20"/>
              </w:rPr>
            </w:pPr>
            <w:r w:rsidRPr="0019254F">
              <w:rPr>
                <w:rFonts w:ascii="Arial" w:hAnsi="Arial" w:cs="Arial"/>
                <w:b/>
                <w:sz w:val="20"/>
                <w:szCs w:val="20"/>
              </w:rPr>
              <w:t>2015</w:t>
            </w:r>
            <w:r>
              <w:rPr>
                <w:rFonts w:ascii="Arial" w:hAnsi="Arial" w:cs="Arial"/>
                <w:sz w:val="20"/>
                <w:szCs w:val="20"/>
              </w:rPr>
              <w:t xml:space="preserve"> </w:t>
            </w:r>
          </w:p>
          <w:p w:rsidR="003453B5" w:rsidRDefault="00201D48">
            <w:pPr>
              <w:jc w:val="center"/>
              <w:rPr>
                <w:rFonts w:ascii="Arial" w:hAnsi="Arial" w:cs="Arial"/>
                <w:sz w:val="20"/>
                <w:szCs w:val="20"/>
              </w:rPr>
            </w:pPr>
            <w:r w:rsidRPr="00201D48">
              <w:rPr>
                <w:rFonts w:ascii="Arial" w:hAnsi="Arial" w:cs="Arial"/>
                <w:sz w:val="16"/>
                <w:szCs w:val="16"/>
              </w:rPr>
              <w:t>(based on 2013)</w:t>
            </w:r>
          </w:p>
        </w:tc>
        <w:tc>
          <w:tcPr>
            <w:tcW w:w="1350" w:type="dxa"/>
          </w:tcPr>
          <w:p w:rsidR="003453B5" w:rsidRDefault="00201D48">
            <w:pPr>
              <w:jc w:val="center"/>
              <w:rPr>
                <w:rFonts w:ascii="Arial" w:hAnsi="Arial" w:cs="Arial"/>
                <w:sz w:val="20"/>
                <w:szCs w:val="20"/>
              </w:rPr>
            </w:pPr>
            <w:r w:rsidRPr="0019254F">
              <w:rPr>
                <w:rFonts w:ascii="Arial" w:hAnsi="Arial" w:cs="Arial"/>
                <w:b/>
                <w:sz w:val="20"/>
                <w:szCs w:val="20"/>
              </w:rPr>
              <w:t>2016</w:t>
            </w:r>
            <w:r>
              <w:rPr>
                <w:rFonts w:ascii="Arial" w:hAnsi="Arial" w:cs="Arial"/>
                <w:sz w:val="20"/>
                <w:szCs w:val="20"/>
              </w:rPr>
              <w:t xml:space="preserve"> </w:t>
            </w:r>
            <w:r w:rsidR="00FD5509">
              <w:rPr>
                <w:rFonts w:ascii="Arial" w:hAnsi="Arial" w:cs="Arial"/>
                <w:sz w:val="20"/>
                <w:szCs w:val="20"/>
              </w:rPr>
              <w:t xml:space="preserve">  </w:t>
            </w:r>
          </w:p>
          <w:p w:rsidR="003453B5" w:rsidRDefault="00FD5509">
            <w:pPr>
              <w:jc w:val="center"/>
              <w:rPr>
                <w:rFonts w:ascii="Arial" w:hAnsi="Arial" w:cs="Arial"/>
                <w:sz w:val="20"/>
                <w:szCs w:val="20"/>
              </w:rPr>
            </w:pPr>
            <w:r>
              <w:rPr>
                <w:rFonts w:ascii="Arial" w:hAnsi="Arial" w:cs="Arial"/>
                <w:sz w:val="20"/>
                <w:szCs w:val="20"/>
              </w:rPr>
              <w:t xml:space="preserve"> </w:t>
            </w:r>
            <w:r w:rsidR="00201D48" w:rsidRPr="00201D48">
              <w:rPr>
                <w:rFonts w:ascii="Arial" w:hAnsi="Arial" w:cs="Arial"/>
                <w:sz w:val="16"/>
                <w:szCs w:val="16"/>
              </w:rPr>
              <w:t>(based on 2014)</w:t>
            </w:r>
          </w:p>
        </w:tc>
        <w:tc>
          <w:tcPr>
            <w:tcW w:w="1350" w:type="dxa"/>
          </w:tcPr>
          <w:p w:rsidR="003453B5" w:rsidRDefault="00201D48">
            <w:pPr>
              <w:jc w:val="center"/>
              <w:rPr>
                <w:rFonts w:ascii="Arial" w:hAnsi="Arial" w:cs="Arial"/>
                <w:b/>
                <w:sz w:val="20"/>
                <w:szCs w:val="20"/>
              </w:rPr>
            </w:pPr>
            <w:r w:rsidRPr="0019254F">
              <w:rPr>
                <w:rFonts w:ascii="Arial" w:hAnsi="Arial" w:cs="Arial"/>
                <w:b/>
                <w:sz w:val="20"/>
                <w:szCs w:val="20"/>
              </w:rPr>
              <w:t>2017</w:t>
            </w:r>
            <w:r w:rsidR="00FD5509">
              <w:rPr>
                <w:rFonts w:ascii="Arial" w:hAnsi="Arial" w:cs="Arial"/>
                <w:b/>
                <w:sz w:val="20"/>
                <w:szCs w:val="20"/>
              </w:rPr>
              <w:t xml:space="preserve">   </w:t>
            </w:r>
          </w:p>
          <w:p w:rsidR="003453B5" w:rsidRDefault="00201D48">
            <w:pPr>
              <w:jc w:val="center"/>
              <w:rPr>
                <w:rFonts w:ascii="Arial" w:hAnsi="Arial" w:cs="Arial"/>
                <w:sz w:val="20"/>
                <w:szCs w:val="20"/>
              </w:rPr>
            </w:pPr>
            <w:r>
              <w:rPr>
                <w:rFonts w:ascii="Arial" w:hAnsi="Arial" w:cs="Arial"/>
                <w:sz w:val="20"/>
                <w:szCs w:val="20"/>
              </w:rPr>
              <w:t xml:space="preserve"> </w:t>
            </w:r>
            <w:r w:rsidRPr="00201D48">
              <w:rPr>
                <w:rFonts w:ascii="Arial" w:hAnsi="Arial" w:cs="Arial"/>
                <w:sz w:val="16"/>
                <w:szCs w:val="16"/>
              </w:rPr>
              <w:t>(based on 2015)</w:t>
            </w:r>
          </w:p>
        </w:tc>
        <w:tc>
          <w:tcPr>
            <w:tcW w:w="1350" w:type="dxa"/>
          </w:tcPr>
          <w:p w:rsidR="003453B5" w:rsidRDefault="00201D48">
            <w:pPr>
              <w:jc w:val="center"/>
              <w:rPr>
                <w:rFonts w:ascii="Arial" w:hAnsi="Arial" w:cs="Arial"/>
                <w:sz w:val="20"/>
                <w:szCs w:val="20"/>
              </w:rPr>
            </w:pPr>
            <w:r w:rsidRPr="0019254F">
              <w:rPr>
                <w:rFonts w:ascii="Arial" w:hAnsi="Arial" w:cs="Arial"/>
                <w:b/>
                <w:sz w:val="20"/>
                <w:szCs w:val="20"/>
              </w:rPr>
              <w:t>2018</w:t>
            </w:r>
            <w:r>
              <w:rPr>
                <w:rFonts w:ascii="Arial" w:hAnsi="Arial" w:cs="Arial"/>
                <w:sz w:val="20"/>
                <w:szCs w:val="20"/>
              </w:rPr>
              <w:t xml:space="preserve"> </w:t>
            </w:r>
            <w:r w:rsidR="00FD5509">
              <w:rPr>
                <w:rFonts w:ascii="Arial" w:hAnsi="Arial" w:cs="Arial"/>
                <w:sz w:val="20"/>
                <w:szCs w:val="20"/>
              </w:rPr>
              <w:t xml:space="preserve">  </w:t>
            </w:r>
          </w:p>
          <w:p w:rsidR="003453B5" w:rsidRDefault="00FD5509">
            <w:pPr>
              <w:jc w:val="center"/>
              <w:rPr>
                <w:rFonts w:ascii="Arial" w:hAnsi="Arial" w:cs="Arial"/>
                <w:sz w:val="20"/>
                <w:szCs w:val="20"/>
              </w:rPr>
            </w:pPr>
            <w:r>
              <w:rPr>
                <w:rFonts w:ascii="Arial" w:hAnsi="Arial" w:cs="Arial"/>
                <w:sz w:val="20"/>
                <w:szCs w:val="20"/>
              </w:rPr>
              <w:t xml:space="preserve"> </w:t>
            </w:r>
            <w:r w:rsidR="00201D48" w:rsidRPr="00201D48">
              <w:rPr>
                <w:rFonts w:ascii="Arial" w:hAnsi="Arial" w:cs="Arial"/>
                <w:sz w:val="16"/>
                <w:szCs w:val="16"/>
              </w:rPr>
              <w:t>(based on 2016)</w:t>
            </w:r>
          </w:p>
        </w:tc>
        <w:tc>
          <w:tcPr>
            <w:tcW w:w="1350" w:type="dxa"/>
          </w:tcPr>
          <w:p w:rsidR="003453B5" w:rsidRDefault="00201D48">
            <w:pPr>
              <w:jc w:val="center"/>
              <w:rPr>
                <w:rFonts w:ascii="Arial" w:hAnsi="Arial" w:cs="Arial"/>
                <w:sz w:val="20"/>
                <w:szCs w:val="20"/>
              </w:rPr>
            </w:pPr>
            <w:r w:rsidRPr="0019254F">
              <w:rPr>
                <w:rFonts w:ascii="Arial" w:hAnsi="Arial" w:cs="Arial"/>
                <w:b/>
                <w:sz w:val="20"/>
                <w:szCs w:val="20"/>
              </w:rPr>
              <w:t>2019</w:t>
            </w:r>
            <w:r>
              <w:rPr>
                <w:rFonts w:ascii="Arial" w:hAnsi="Arial" w:cs="Arial"/>
                <w:sz w:val="20"/>
                <w:szCs w:val="20"/>
              </w:rPr>
              <w:t xml:space="preserve"> </w:t>
            </w:r>
            <w:r w:rsidR="00FD5509">
              <w:rPr>
                <w:rFonts w:ascii="Arial" w:hAnsi="Arial" w:cs="Arial"/>
                <w:sz w:val="20"/>
                <w:szCs w:val="20"/>
              </w:rPr>
              <w:t xml:space="preserve">  </w:t>
            </w:r>
          </w:p>
          <w:p w:rsidR="003453B5" w:rsidRDefault="00FD5509">
            <w:pPr>
              <w:jc w:val="center"/>
              <w:rPr>
                <w:rFonts w:ascii="Arial" w:hAnsi="Arial" w:cs="Arial"/>
                <w:sz w:val="20"/>
                <w:szCs w:val="20"/>
              </w:rPr>
            </w:pPr>
            <w:r>
              <w:rPr>
                <w:rFonts w:ascii="Arial" w:hAnsi="Arial" w:cs="Arial"/>
                <w:sz w:val="20"/>
                <w:szCs w:val="20"/>
              </w:rPr>
              <w:t xml:space="preserve"> </w:t>
            </w:r>
            <w:r w:rsidR="00201D48" w:rsidRPr="00201D48">
              <w:rPr>
                <w:rFonts w:ascii="Arial" w:hAnsi="Arial" w:cs="Arial"/>
                <w:sz w:val="16"/>
                <w:szCs w:val="16"/>
              </w:rPr>
              <w:t>(based on 2017)</w:t>
            </w:r>
          </w:p>
        </w:tc>
        <w:tc>
          <w:tcPr>
            <w:tcW w:w="1440" w:type="dxa"/>
          </w:tcPr>
          <w:p w:rsidR="003453B5" w:rsidRDefault="00201D48">
            <w:pPr>
              <w:jc w:val="center"/>
              <w:rPr>
                <w:rFonts w:ascii="Arial" w:hAnsi="Arial" w:cs="Arial"/>
                <w:b/>
                <w:sz w:val="20"/>
                <w:szCs w:val="20"/>
              </w:rPr>
            </w:pPr>
            <w:r w:rsidRPr="0019254F">
              <w:rPr>
                <w:rFonts w:ascii="Arial" w:hAnsi="Arial" w:cs="Arial"/>
                <w:b/>
                <w:sz w:val="20"/>
                <w:szCs w:val="20"/>
              </w:rPr>
              <w:t>2020+</w:t>
            </w:r>
          </w:p>
        </w:tc>
      </w:tr>
      <w:tr w:rsidR="00201D48" w:rsidTr="00BB1CC3">
        <w:trPr>
          <w:trHeight w:val="458"/>
        </w:trPr>
        <w:tc>
          <w:tcPr>
            <w:tcW w:w="2250" w:type="dxa"/>
          </w:tcPr>
          <w:p w:rsidR="00201D48" w:rsidRPr="0019254F" w:rsidRDefault="00201D48" w:rsidP="00B73DC2">
            <w:pPr>
              <w:rPr>
                <w:rFonts w:ascii="Arial" w:hAnsi="Arial" w:cs="Arial"/>
                <w:b/>
                <w:sz w:val="20"/>
                <w:szCs w:val="20"/>
              </w:rPr>
            </w:pPr>
            <w:r w:rsidRPr="0019254F">
              <w:rPr>
                <w:rFonts w:ascii="Arial" w:hAnsi="Arial" w:cs="Arial"/>
                <w:b/>
                <w:sz w:val="20"/>
                <w:szCs w:val="20"/>
              </w:rPr>
              <w:t>Successful</w:t>
            </w:r>
          </w:p>
          <w:p w:rsidR="00201D48" w:rsidRPr="0019254F" w:rsidRDefault="00201D48" w:rsidP="00B73DC2">
            <w:pPr>
              <w:rPr>
                <w:rFonts w:ascii="Arial" w:hAnsi="Arial" w:cs="Arial"/>
                <w:b/>
                <w:sz w:val="20"/>
                <w:szCs w:val="20"/>
              </w:rPr>
            </w:pPr>
            <w:r w:rsidRPr="0019254F">
              <w:rPr>
                <w:rFonts w:ascii="Arial" w:hAnsi="Arial" w:cs="Arial"/>
                <w:b/>
                <w:sz w:val="20"/>
                <w:szCs w:val="20"/>
              </w:rPr>
              <w:t>eRx in 2012</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-1%</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-2%</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-3%</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-3%</w:t>
            </w:r>
            <w:r w:rsidR="00DE2A84">
              <w:rPr>
                <w:rFonts w:ascii="Arial" w:hAnsi="Arial" w:cs="Arial"/>
                <w:color w:val="FF0000"/>
                <w:sz w:val="20"/>
                <w:szCs w:val="20"/>
              </w:rPr>
              <w:t xml:space="preserve"> </w:t>
            </w:r>
            <w:r w:rsidR="004F51F9">
              <w:rPr>
                <w:rFonts w:ascii="Arial" w:hAnsi="Arial" w:cs="Arial"/>
                <w:color w:val="FF0000"/>
                <w:sz w:val="20"/>
                <w:szCs w:val="20"/>
              </w:rPr>
              <w:t>/</w:t>
            </w:r>
            <w:r w:rsidR="00DE2A84">
              <w:rPr>
                <w:rFonts w:ascii="Arial" w:hAnsi="Arial" w:cs="Arial"/>
                <w:color w:val="FF0000"/>
                <w:sz w:val="20"/>
                <w:szCs w:val="20"/>
              </w:rPr>
              <w:t xml:space="preserve"> </w:t>
            </w:r>
            <w:r w:rsidR="004F51F9">
              <w:rPr>
                <w:rFonts w:ascii="Arial" w:hAnsi="Arial" w:cs="Arial"/>
                <w:color w:val="FF0000"/>
                <w:sz w:val="20"/>
                <w:szCs w:val="20"/>
              </w:rPr>
              <w:t>-4%</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-3%</w:t>
            </w:r>
          </w:p>
        </w:tc>
        <w:tc>
          <w:tcPr>
            <w:tcW w:w="144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-3%</w:t>
            </w:r>
          </w:p>
        </w:tc>
      </w:tr>
      <w:tr w:rsidR="00201D48" w:rsidTr="00BB1CC3">
        <w:tc>
          <w:tcPr>
            <w:tcW w:w="2250" w:type="dxa"/>
          </w:tcPr>
          <w:p w:rsidR="00201D48" w:rsidRPr="0019254F" w:rsidRDefault="00201D48" w:rsidP="00B73DC2">
            <w:pPr>
              <w:rPr>
                <w:rFonts w:ascii="Arial" w:hAnsi="Arial" w:cs="Arial"/>
                <w:b/>
                <w:sz w:val="20"/>
                <w:szCs w:val="20"/>
              </w:rPr>
            </w:pPr>
            <w:r w:rsidRPr="0019254F">
              <w:rPr>
                <w:rFonts w:ascii="Arial" w:hAnsi="Arial" w:cs="Arial"/>
                <w:b/>
                <w:sz w:val="20"/>
                <w:szCs w:val="20"/>
              </w:rPr>
              <w:t>Subject to eRx penalty in 2014</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-2%</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-2%</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-3%</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-3%</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-3%</w:t>
            </w:r>
          </w:p>
        </w:tc>
        <w:tc>
          <w:tcPr>
            <w:tcW w:w="144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-3%</w:t>
            </w:r>
          </w:p>
        </w:tc>
      </w:tr>
    </w:tbl>
    <w:p w:rsidR="00201D48" w:rsidRDefault="00201D48" w:rsidP="00B73DC2">
      <w:pPr>
        <w:rPr>
          <w:rFonts w:ascii="Arial" w:hAnsi="Arial" w:cs="Arial"/>
          <w:sz w:val="20"/>
          <w:szCs w:val="20"/>
        </w:rPr>
      </w:pPr>
    </w:p>
    <w:p w:rsidR="00201D48" w:rsidRDefault="00AF7305" w:rsidP="00B73DC2">
      <w:pPr>
        <w:rPr>
          <w:rFonts w:ascii="Arial" w:hAnsi="Arial" w:cs="Arial"/>
          <w:sz w:val="20"/>
          <w:szCs w:val="20"/>
        </w:rPr>
      </w:pPr>
      <w:r>
        <w:rPr>
          <w:rFonts w:ascii="Arial" w:hAnsi="Arial" w:cs="Arial"/>
          <w:sz w:val="20"/>
          <w:szCs w:val="20"/>
        </w:rPr>
        <w:t>If less than 75 percent</w:t>
      </w:r>
      <w:r w:rsidR="00201D48">
        <w:rPr>
          <w:rFonts w:ascii="Arial" w:hAnsi="Arial" w:cs="Arial"/>
          <w:sz w:val="20"/>
          <w:szCs w:val="20"/>
        </w:rPr>
        <w:t xml:space="preserve"> of all eligible physicians </w:t>
      </w:r>
      <w:r>
        <w:rPr>
          <w:rFonts w:ascii="Arial" w:hAnsi="Arial" w:cs="Arial"/>
          <w:sz w:val="20"/>
          <w:szCs w:val="20"/>
        </w:rPr>
        <w:t xml:space="preserve">nationally </w:t>
      </w:r>
      <w:r w:rsidR="00201D48">
        <w:rPr>
          <w:rFonts w:ascii="Arial" w:hAnsi="Arial" w:cs="Arial"/>
          <w:sz w:val="20"/>
          <w:szCs w:val="20"/>
        </w:rPr>
        <w:t xml:space="preserve">are successful meaningful users, </w:t>
      </w:r>
      <w:r>
        <w:rPr>
          <w:rFonts w:ascii="Arial" w:hAnsi="Arial" w:cs="Arial"/>
          <w:sz w:val="20"/>
          <w:szCs w:val="20"/>
        </w:rPr>
        <w:t>CMS will increase penalty amounts</w:t>
      </w:r>
      <w:r w:rsidR="00201D48">
        <w:rPr>
          <w:rFonts w:ascii="Arial" w:hAnsi="Arial" w:cs="Arial"/>
          <w:sz w:val="20"/>
          <w:szCs w:val="20"/>
        </w:rPr>
        <w:t xml:space="preserve"> </w:t>
      </w:r>
      <w:r>
        <w:rPr>
          <w:rFonts w:ascii="Arial" w:hAnsi="Arial" w:cs="Arial"/>
          <w:sz w:val="20"/>
          <w:szCs w:val="20"/>
        </w:rPr>
        <w:t xml:space="preserve">by </w:t>
      </w:r>
      <w:r w:rsidR="00A0057D">
        <w:rPr>
          <w:rFonts w:ascii="Arial" w:hAnsi="Arial" w:cs="Arial"/>
          <w:sz w:val="20"/>
          <w:szCs w:val="20"/>
        </w:rPr>
        <w:t>2 percent, starting in 2018. CMS will determine the penalty amount based upon the most recent year data is available.</w:t>
      </w:r>
    </w:p>
    <w:p w:rsidR="007F6479" w:rsidRPr="00AF7305" w:rsidRDefault="007F6479" w:rsidP="00B73DC2">
      <w:pPr>
        <w:rPr>
          <w:rFonts w:ascii="Arial" w:hAnsi="Arial" w:cs="Arial"/>
          <w:sz w:val="16"/>
          <w:szCs w:val="16"/>
        </w:rPr>
      </w:pPr>
    </w:p>
    <w:tbl>
      <w:tblPr>
        <w:tblStyle w:val="TableGrid"/>
        <w:tblW w:w="10440" w:type="dxa"/>
        <w:tblInd w:w="-522" w:type="dxa"/>
        <w:tblLayout w:type="fixed"/>
        <w:tblLook w:val="04A0"/>
      </w:tblPr>
      <w:tblGrid>
        <w:gridCol w:w="2250"/>
        <w:gridCol w:w="1350"/>
        <w:gridCol w:w="1350"/>
        <w:gridCol w:w="1350"/>
        <w:gridCol w:w="1350"/>
        <w:gridCol w:w="1350"/>
        <w:gridCol w:w="1440"/>
      </w:tblGrid>
      <w:tr w:rsidR="007F6479" w:rsidTr="00BB1CC3">
        <w:tc>
          <w:tcPr>
            <w:tcW w:w="10440" w:type="dxa"/>
            <w:gridSpan w:val="7"/>
          </w:tcPr>
          <w:p w:rsidR="003453B5" w:rsidRDefault="007F6479">
            <w:pPr>
              <w:jc w:val="center"/>
              <w:rPr>
                <w:rFonts w:ascii="Arial" w:hAnsi="Arial" w:cs="Arial"/>
                <w:b/>
                <w:sz w:val="20"/>
                <w:szCs w:val="20"/>
              </w:rPr>
            </w:pPr>
            <w:r w:rsidRPr="0019254F">
              <w:rPr>
                <w:rFonts w:ascii="Arial" w:hAnsi="Arial" w:cs="Arial"/>
                <w:b/>
                <w:bCs/>
                <w:sz w:val="20"/>
                <w:szCs w:val="20"/>
              </w:rPr>
              <w:t xml:space="preserve">% </w:t>
            </w:r>
            <w:r w:rsidR="00201D48" w:rsidRPr="0019254F">
              <w:rPr>
                <w:rFonts w:ascii="Arial" w:hAnsi="Arial" w:cs="Arial"/>
                <w:b/>
                <w:bCs/>
                <w:sz w:val="20"/>
                <w:szCs w:val="20"/>
              </w:rPr>
              <w:t xml:space="preserve">PENALTY </w:t>
            </w:r>
            <w:r w:rsidRPr="0019254F">
              <w:rPr>
                <w:rFonts w:ascii="Arial" w:hAnsi="Arial" w:cs="Arial"/>
                <w:b/>
                <w:bCs/>
                <w:sz w:val="20"/>
                <w:szCs w:val="20"/>
              </w:rPr>
              <w:t>ASSUMING LESS THAN 75 PERCENT OF EPs</w:t>
            </w:r>
            <w:r w:rsidR="00ED6840">
              <w:rPr>
                <w:rFonts w:ascii="Arial" w:hAnsi="Arial" w:cs="Arial"/>
                <w:b/>
                <w:bCs/>
                <w:sz w:val="20"/>
                <w:szCs w:val="20"/>
              </w:rPr>
              <w:t xml:space="preserve"> </w:t>
            </w:r>
            <w:r w:rsidR="00AF7305">
              <w:rPr>
                <w:rFonts w:ascii="Arial" w:hAnsi="Arial" w:cs="Arial"/>
                <w:b/>
                <w:bCs/>
                <w:sz w:val="20"/>
                <w:szCs w:val="20"/>
              </w:rPr>
              <w:t xml:space="preserve">NATIONALLY </w:t>
            </w:r>
            <w:r w:rsidRPr="0019254F">
              <w:rPr>
                <w:rFonts w:ascii="Arial" w:hAnsi="Arial" w:cs="Arial"/>
                <w:b/>
                <w:bCs/>
                <w:sz w:val="20"/>
                <w:szCs w:val="20"/>
              </w:rPr>
              <w:t xml:space="preserve">ARE </w:t>
            </w:r>
            <w:r w:rsidR="00345D6C">
              <w:rPr>
                <w:rFonts w:ascii="Arial" w:hAnsi="Arial" w:cs="Arial"/>
                <w:b/>
                <w:bCs/>
                <w:sz w:val="20"/>
                <w:szCs w:val="20"/>
              </w:rPr>
              <w:t xml:space="preserve">SUCCESSFUL </w:t>
            </w:r>
            <w:r w:rsidRPr="0019254F">
              <w:rPr>
                <w:rFonts w:ascii="Arial" w:hAnsi="Arial" w:cs="Arial"/>
                <w:b/>
                <w:bCs/>
                <w:sz w:val="20"/>
                <w:szCs w:val="20"/>
              </w:rPr>
              <w:t>MEANINGFUL USERS</w:t>
            </w:r>
          </w:p>
        </w:tc>
      </w:tr>
      <w:tr w:rsidR="0019254F" w:rsidTr="00BB1CC3">
        <w:tc>
          <w:tcPr>
            <w:tcW w:w="2250" w:type="dxa"/>
          </w:tcPr>
          <w:p w:rsidR="0019254F" w:rsidRDefault="0019254F" w:rsidP="00B73DC2">
            <w:pPr>
              <w:rPr>
                <w:rFonts w:ascii="Arial" w:hAnsi="Arial" w:cs="Arial"/>
                <w:sz w:val="20"/>
                <w:szCs w:val="20"/>
              </w:rPr>
            </w:pPr>
          </w:p>
        </w:tc>
        <w:tc>
          <w:tcPr>
            <w:tcW w:w="1350" w:type="dxa"/>
          </w:tcPr>
          <w:p w:rsidR="003453B5" w:rsidRDefault="0019254F">
            <w:pPr>
              <w:jc w:val="center"/>
              <w:rPr>
                <w:rFonts w:ascii="Arial" w:hAnsi="Arial" w:cs="Arial"/>
                <w:sz w:val="20"/>
                <w:szCs w:val="20"/>
              </w:rPr>
            </w:pPr>
            <w:r w:rsidRPr="0019254F">
              <w:rPr>
                <w:rFonts w:ascii="Arial" w:hAnsi="Arial" w:cs="Arial"/>
                <w:b/>
                <w:sz w:val="20"/>
                <w:szCs w:val="20"/>
              </w:rPr>
              <w:t>2015</w:t>
            </w:r>
            <w:r>
              <w:rPr>
                <w:rFonts w:ascii="Arial" w:hAnsi="Arial" w:cs="Arial"/>
                <w:sz w:val="20"/>
                <w:szCs w:val="20"/>
              </w:rPr>
              <w:t xml:space="preserve"> </w:t>
            </w:r>
          </w:p>
          <w:p w:rsidR="003453B5" w:rsidRDefault="00FD5509">
            <w:pPr>
              <w:jc w:val="center"/>
              <w:rPr>
                <w:rFonts w:ascii="Arial" w:hAnsi="Arial" w:cs="Arial"/>
                <w:sz w:val="16"/>
                <w:szCs w:val="16"/>
              </w:rPr>
            </w:pPr>
            <w:r>
              <w:rPr>
                <w:rFonts w:ascii="Arial" w:hAnsi="Arial" w:cs="Arial"/>
                <w:sz w:val="16"/>
                <w:szCs w:val="16"/>
              </w:rPr>
              <w:t>(</w:t>
            </w:r>
            <w:r w:rsidR="0019254F" w:rsidRPr="00201D48">
              <w:rPr>
                <w:rFonts w:ascii="Arial" w:hAnsi="Arial" w:cs="Arial"/>
                <w:sz w:val="16"/>
                <w:szCs w:val="16"/>
              </w:rPr>
              <w:t>based on 2013)</w:t>
            </w:r>
          </w:p>
        </w:tc>
        <w:tc>
          <w:tcPr>
            <w:tcW w:w="1350" w:type="dxa"/>
          </w:tcPr>
          <w:p w:rsidR="003453B5" w:rsidRDefault="0019254F">
            <w:pPr>
              <w:jc w:val="center"/>
              <w:rPr>
                <w:rFonts w:ascii="Arial" w:hAnsi="Arial" w:cs="Arial"/>
                <w:sz w:val="20"/>
                <w:szCs w:val="20"/>
              </w:rPr>
            </w:pPr>
            <w:r w:rsidRPr="0019254F">
              <w:rPr>
                <w:rFonts w:ascii="Arial" w:hAnsi="Arial" w:cs="Arial"/>
                <w:b/>
                <w:sz w:val="20"/>
                <w:szCs w:val="20"/>
              </w:rPr>
              <w:t>2016</w:t>
            </w:r>
            <w:r>
              <w:rPr>
                <w:rFonts w:ascii="Arial" w:hAnsi="Arial" w:cs="Arial"/>
                <w:sz w:val="20"/>
                <w:szCs w:val="20"/>
              </w:rPr>
              <w:t xml:space="preserve"> </w:t>
            </w:r>
          </w:p>
          <w:p w:rsidR="003453B5" w:rsidRDefault="0019254F">
            <w:pPr>
              <w:jc w:val="center"/>
              <w:rPr>
                <w:rFonts w:ascii="Arial" w:hAnsi="Arial" w:cs="Arial"/>
                <w:sz w:val="20"/>
                <w:szCs w:val="20"/>
              </w:rPr>
            </w:pPr>
            <w:r w:rsidRPr="00201D48">
              <w:rPr>
                <w:rFonts w:ascii="Arial" w:hAnsi="Arial" w:cs="Arial"/>
                <w:sz w:val="16"/>
                <w:szCs w:val="16"/>
              </w:rPr>
              <w:t>(based on 2014)</w:t>
            </w:r>
          </w:p>
        </w:tc>
        <w:tc>
          <w:tcPr>
            <w:tcW w:w="1350" w:type="dxa"/>
          </w:tcPr>
          <w:p w:rsidR="003453B5" w:rsidRDefault="0019254F">
            <w:pPr>
              <w:jc w:val="center"/>
              <w:rPr>
                <w:rFonts w:ascii="Arial" w:hAnsi="Arial" w:cs="Arial"/>
                <w:sz w:val="20"/>
                <w:szCs w:val="20"/>
              </w:rPr>
            </w:pPr>
            <w:r w:rsidRPr="0019254F">
              <w:rPr>
                <w:rFonts w:ascii="Arial" w:hAnsi="Arial" w:cs="Arial"/>
                <w:b/>
                <w:sz w:val="20"/>
                <w:szCs w:val="20"/>
              </w:rPr>
              <w:t>2017</w:t>
            </w:r>
            <w:r>
              <w:rPr>
                <w:rFonts w:ascii="Arial" w:hAnsi="Arial" w:cs="Arial"/>
                <w:sz w:val="20"/>
                <w:szCs w:val="20"/>
              </w:rPr>
              <w:t xml:space="preserve"> </w:t>
            </w:r>
          </w:p>
          <w:p w:rsidR="003453B5" w:rsidRDefault="0019254F">
            <w:pPr>
              <w:jc w:val="center"/>
              <w:rPr>
                <w:rFonts w:ascii="Arial" w:hAnsi="Arial" w:cs="Arial"/>
                <w:sz w:val="20"/>
                <w:szCs w:val="20"/>
              </w:rPr>
            </w:pPr>
            <w:r w:rsidRPr="00201D48">
              <w:rPr>
                <w:rFonts w:ascii="Arial" w:hAnsi="Arial" w:cs="Arial"/>
                <w:sz w:val="16"/>
                <w:szCs w:val="16"/>
              </w:rPr>
              <w:t>(based on 2015)</w:t>
            </w:r>
          </w:p>
        </w:tc>
        <w:tc>
          <w:tcPr>
            <w:tcW w:w="1350" w:type="dxa"/>
          </w:tcPr>
          <w:p w:rsidR="003453B5" w:rsidRDefault="0019254F">
            <w:pPr>
              <w:jc w:val="center"/>
              <w:rPr>
                <w:rFonts w:ascii="Arial" w:hAnsi="Arial" w:cs="Arial"/>
                <w:sz w:val="20"/>
                <w:szCs w:val="20"/>
              </w:rPr>
            </w:pPr>
            <w:r w:rsidRPr="0019254F">
              <w:rPr>
                <w:rFonts w:ascii="Arial" w:hAnsi="Arial" w:cs="Arial"/>
                <w:b/>
                <w:sz w:val="20"/>
                <w:szCs w:val="20"/>
              </w:rPr>
              <w:t>2018</w:t>
            </w:r>
            <w:r>
              <w:rPr>
                <w:rFonts w:ascii="Arial" w:hAnsi="Arial" w:cs="Arial"/>
                <w:sz w:val="20"/>
                <w:szCs w:val="20"/>
              </w:rPr>
              <w:t xml:space="preserve"> </w:t>
            </w:r>
          </w:p>
          <w:p w:rsidR="003453B5" w:rsidRDefault="0019254F">
            <w:pPr>
              <w:jc w:val="center"/>
              <w:rPr>
                <w:rFonts w:ascii="Arial" w:hAnsi="Arial" w:cs="Arial"/>
                <w:sz w:val="20"/>
                <w:szCs w:val="20"/>
              </w:rPr>
            </w:pPr>
            <w:r w:rsidRPr="00201D48">
              <w:rPr>
                <w:rFonts w:ascii="Arial" w:hAnsi="Arial" w:cs="Arial"/>
                <w:sz w:val="16"/>
                <w:szCs w:val="16"/>
              </w:rPr>
              <w:t>(based on 2016)</w:t>
            </w:r>
          </w:p>
        </w:tc>
        <w:tc>
          <w:tcPr>
            <w:tcW w:w="1350" w:type="dxa"/>
          </w:tcPr>
          <w:p w:rsidR="003453B5" w:rsidRDefault="0019254F">
            <w:pPr>
              <w:jc w:val="center"/>
              <w:rPr>
                <w:rFonts w:ascii="Arial" w:hAnsi="Arial" w:cs="Arial"/>
                <w:sz w:val="20"/>
                <w:szCs w:val="20"/>
              </w:rPr>
            </w:pPr>
            <w:r w:rsidRPr="0019254F">
              <w:rPr>
                <w:rFonts w:ascii="Arial" w:hAnsi="Arial" w:cs="Arial"/>
                <w:b/>
                <w:sz w:val="20"/>
                <w:szCs w:val="20"/>
              </w:rPr>
              <w:t>2019</w:t>
            </w:r>
            <w:r>
              <w:rPr>
                <w:rFonts w:ascii="Arial" w:hAnsi="Arial" w:cs="Arial"/>
                <w:sz w:val="20"/>
                <w:szCs w:val="20"/>
              </w:rPr>
              <w:t xml:space="preserve"> </w:t>
            </w:r>
          </w:p>
          <w:p w:rsidR="003453B5" w:rsidRDefault="0019254F">
            <w:pPr>
              <w:jc w:val="center"/>
              <w:rPr>
                <w:rFonts w:ascii="Arial" w:hAnsi="Arial" w:cs="Arial"/>
                <w:sz w:val="20"/>
                <w:szCs w:val="20"/>
              </w:rPr>
            </w:pPr>
            <w:r w:rsidRPr="00201D48">
              <w:rPr>
                <w:rFonts w:ascii="Arial" w:hAnsi="Arial" w:cs="Arial"/>
                <w:sz w:val="16"/>
                <w:szCs w:val="16"/>
              </w:rPr>
              <w:t>(based on 2017)</w:t>
            </w:r>
          </w:p>
        </w:tc>
        <w:tc>
          <w:tcPr>
            <w:tcW w:w="1440" w:type="dxa"/>
          </w:tcPr>
          <w:p w:rsidR="003453B5" w:rsidRDefault="0019254F">
            <w:pPr>
              <w:jc w:val="center"/>
              <w:rPr>
                <w:rFonts w:ascii="Arial" w:hAnsi="Arial" w:cs="Arial"/>
                <w:b/>
                <w:sz w:val="20"/>
                <w:szCs w:val="20"/>
              </w:rPr>
            </w:pPr>
            <w:r w:rsidRPr="0019254F">
              <w:rPr>
                <w:rFonts w:ascii="Arial" w:hAnsi="Arial" w:cs="Arial"/>
                <w:b/>
                <w:sz w:val="20"/>
                <w:szCs w:val="20"/>
              </w:rPr>
              <w:t>2020+</w:t>
            </w:r>
          </w:p>
        </w:tc>
      </w:tr>
      <w:tr w:rsidR="007F6479" w:rsidTr="00BB1CC3">
        <w:trPr>
          <w:trHeight w:val="467"/>
        </w:trPr>
        <w:tc>
          <w:tcPr>
            <w:tcW w:w="2250" w:type="dxa"/>
          </w:tcPr>
          <w:p w:rsidR="007F6479" w:rsidRPr="0019254F" w:rsidRDefault="00201D48" w:rsidP="00B73DC2">
            <w:pPr>
              <w:rPr>
                <w:rFonts w:ascii="Arial" w:hAnsi="Arial" w:cs="Arial"/>
                <w:b/>
                <w:sz w:val="20"/>
                <w:szCs w:val="20"/>
              </w:rPr>
            </w:pPr>
            <w:r w:rsidRPr="0019254F">
              <w:rPr>
                <w:rFonts w:ascii="Arial" w:hAnsi="Arial" w:cs="Arial"/>
                <w:b/>
                <w:sz w:val="20"/>
                <w:szCs w:val="20"/>
              </w:rPr>
              <w:t>Successful eRx in 2012</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-1%</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-2%</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-3%</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-4%</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-5%</w:t>
            </w:r>
          </w:p>
        </w:tc>
        <w:tc>
          <w:tcPr>
            <w:tcW w:w="144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-5%</w:t>
            </w:r>
          </w:p>
        </w:tc>
      </w:tr>
      <w:tr w:rsidR="007F6479" w:rsidTr="00BB1CC3">
        <w:trPr>
          <w:trHeight w:val="440"/>
        </w:trPr>
        <w:tc>
          <w:tcPr>
            <w:tcW w:w="2250" w:type="dxa"/>
          </w:tcPr>
          <w:p w:rsidR="007F6479" w:rsidRPr="0019254F" w:rsidRDefault="00201D48" w:rsidP="00B73DC2">
            <w:pPr>
              <w:rPr>
                <w:rFonts w:ascii="Arial" w:hAnsi="Arial" w:cs="Arial"/>
                <w:b/>
                <w:sz w:val="20"/>
                <w:szCs w:val="20"/>
              </w:rPr>
            </w:pPr>
            <w:r w:rsidRPr="0019254F">
              <w:rPr>
                <w:rFonts w:ascii="Arial" w:hAnsi="Arial" w:cs="Arial"/>
                <w:b/>
                <w:sz w:val="20"/>
                <w:szCs w:val="20"/>
              </w:rPr>
              <w:lastRenderedPageBreak/>
              <w:t>Subject to eRx penalty in 2014</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-2%</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-2%</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-3%</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-4%</w:t>
            </w:r>
          </w:p>
        </w:tc>
        <w:tc>
          <w:tcPr>
            <w:tcW w:w="135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-5%</w:t>
            </w:r>
          </w:p>
        </w:tc>
        <w:tc>
          <w:tcPr>
            <w:tcW w:w="1440" w:type="dxa"/>
          </w:tcPr>
          <w:p w:rsidR="003453B5" w:rsidRDefault="003453B5">
            <w:pPr>
              <w:jc w:val="center"/>
              <w:rPr>
                <w:rFonts w:ascii="Arial" w:hAnsi="Arial" w:cs="Arial"/>
                <w:color w:val="FF0000"/>
                <w:sz w:val="20"/>
                <w:szCs w:val="20"/>
              </w:rPr>
            </w:pPr>
          </w:p>
          <w:p w:rsidR="003453B5" w:rsidRDefault="00201D48">
            <w:pPr>
              <w:jc w:val="center"/>
              <w:rPr>
                <w:rFonts w:ascii="Arial" w:hAnsi="Arial" w:cs="Arial"/>
                <w:color w:val="FF0000"/>
                <w:sz w:val="20"/>
                <w:szCs w:val="20"/>
              </w:rPr>
            </w:pPr>
            <w:r w:rsidRPr="00201D48">
              <w:rPr>
                <w:rFonts w:ascii="Arial" w:hAnsi="Arial" w:cs="Arial"/>
                <w:color w:val="FF0000"/>
                <w:sz w:val="20"/>
                <w:szCs w:val="20"/>
              </w:rPr>
              <w:t>-5%</w:t>
            </w:r>
          </w:p>
        </w:tc>
      </w:tr>
    </w:tbl>
    <w:p w:rsidR="00201D48" w:rsidRDefault="00201D48" w:rsidP="00B73DC2">
      <w:pPr>
        <w:rPr>
          <w:rFonts w:ascii="Arial" w:hAnsi="Arial" w:cs="Arial"/>
          <w:i/>
          <w:sz w:val="20"/>
          <w:szCs w:val="20"/>
        </w:rPr>
      </w:pPr>
    </w:p>
    <w:p w:rsidR="00EA4F26" w:rsidRDefault="00A0057D" w:rsidP="00B73DC2">
      <w:pPr>
        <w:rPr>
          <w:rFonts w:ascii="Arial" w:hAnsi="Arial" w:cs="Arial"/>
          <w:b/>
          <w:sz w:val="20"/>
          <w:szCs w:val="20"/>
        </w:rPr>
      </w:pPr>
      <w:r>
        <w:rPr>
          <w:rFonts w:ascii="Arial" w:hAnsi="Arial" w:cs="Arial"/>
          <w:b/>
          <w:sz w:val="20"/>
          <w:szCs w:val="20"/>
        </w:rPr>
        <w:t xml:space="preserve">According to a report by the </w:t>
      </w:r>
      <w:r w:rsidR="00EA4F26">
        <w:rPr>
          <w:rFonts w:ascii="Arial" w:hAnsi="Arial" w:cs="Arial"/>
          <w:b/>
          <w:sz w:val="20"/>
          <w:szCs w:val="20"/>
        </w:rPr>
        <w:t>Government Accountability Office (GAO), only 9 percent of all EPs were successful in attesting to Meaningful Use</w:t>
      </w:r>
      <w:r w:rsidR="00FD5509">
        <w:rPr>
          <w:rFonts w:ascii="Arial" w:hAnsi="Arial" w:cs="Arial"/>
          <w:b/>
          <w:sz w:val="20"/>
          <w:szCs w:val="20"/>
        </w:rPr>
        <w:t>,</w:t>
      </w:r>
      <w:r w:rsidR="00EA4F26">
        <w:rPr>
          <w:rFonts w:ascii="Arial" w:hAnsi="Arial" w:cs="Arial"/>
          <w:b/>
          <w:sz w:val="20"/>
          <w:szCs w:val="20"/>
        </w:rPr>
        <w:t xml:space="preserve"> and received incentive payments</w:t>
      </w:r>
      <w:r w:rsidR="00FD5509">
        <w:rPr>
          <w:rFonts w:ascii="Arial" w:hAnsi="Arial" w:cs="Arial"/>
          <w:b/>
          <w:sz w:val="20"/>
          <w:szCs w:val="20"/>
        </w:rPr>
        <w:t>,</w:t>
      </w:r>
      <w:r w:rsidR="00EA4F26">
        <w:rPr>
          <w:rFonts w:ascii="Arial" w:hAnsi="Arial" w:cs="Arial"/>
          <w:b/>
          <w:sz w:val="20"/>
          <w:szCs w:val="20"/>
        </w:rPr>
        <w:t xml:space="preserve"> in 2011. The Academy is concerned the 75 percent threshold is too high and will result in increased payment penalties for physicians.</w:t>
      </w:r>
    </w:p>
    <w:p w:rsidR="00EA4F26" w:rsidRDefault="00EA4F26" w:rsidP="00B73DC2">
      <w:pPr>
        <w:rPr>
          <w:rFonts w:ascii="Arial" w:hAnsi="Arial" w:cs="Arial"/>
          <w:b/>
          <w:sz w:val="20"/>
          <w:szCs w:val="20"/>
        </w:rPr>
      </w:pPr>
    </w:p>
    <w:p w:rsidR="00B93506" w:rsidRPr="00782192" w:rsidRDefault="00B93506" w:rsidP="00B73DC2">
      <w:pPr>
        <w:autoSpaceDE w:val="0"/>
        <w:autoSpaceDN w:val="0"/>
        <w:adjustRightInd w:val="0"/>
        <w:rPr>
          <w:rFonts w:ascii="Arial" w:hAnsi="Arial" w:cs="Arial"/>
          <w:b/>
          <w:color w:val="C00000"/>
          <w:sz w:val="20"/>
          <w:szCs w:val="20"/>
          <w:u w:val="single"/>
        </w:rPr>
      </w:pPr>
      <w:r w:rsidRPr="00782192">
        <w:rPr>
          <w:rFonts w:ascii="Arial" w:hAnsi="Arial" w:cs="Arial"/>
          <w:b/>
          <w:color w:val="C00000"/>
          <w:sz w:val="20"/>
          <w:szCs w:val="20"/>
          <w:u w:val="single"/>
        </w:rPr>
        <w:t xml:space="preserve">Changes to Stage 1 </w:t>
      </w:r>
      <w:r w:rsidR="00FD5509">
        <w:rPr>
          <w:rFonts w:ascii="Arial" w:hAnsi="Arial" w:cs="Arial"/>
          <w:b/>
          <w:color w:val="C00000"/>
          <w:sz w:val="20"/>
          <w:szCs w:val="20"/>
          <w:u w:val="single"/>
        </w:rPr>
        <w:t>I</w:t>
      </w:r>
      <w:r w:rsidR="00705D4B">
        <w:rPr>
          <w:rFonts w:ascii="Arial" w:hAnsi="Arial" w:cs="Arial"/>
          <w:b/>
          <w:color w:val="C00000"/>
          <w:sz w:val="20"/>
          <w:szCs w:val="20"/>
          <w:u w:val="single"/>
        </w:rPr>
        <w:t>nclude</w:t>
      </w:r>
      <w:r w:rsidR="00FD5509">
        <w:rPr>
          <w:rFonts w:ascii="Arial" w:hAnsi="Arial" w:cs="Arial"/>
          <w:b/>
          <w:color w:val="C00000"/>
          <w:sz w:val="20"/>
          <w:szCs w:val="20"/>
          <w:u w:val="single"/>
        </w:rPr>
        <w:t>d</w:t>
      </w:r>
      <w:r w:rsidR="00705D4B">
        <w:rPr>
          <w:rFonts w:ascii="Arial" w:hAnsi="Arial" w:cs="Arial"/>
          <w:b/>
          <w:color w:val="C00000"/>
          <w:sz w:val="20"/>
          <w:szCs w:val="20"/>
          <w:u w:val="single"/>
        </w:rPr>
        <w:t xml:space="preserve"> in Stage 2 Final Rule</w:t>
      </w:r>
    </w:p>
    <w:p w:rsidR="00B93506" w:rsidRDefault="00B93506" w:rsidP="00B73DC2">
      <w:pPr>
        <w:autoSpaceDE w:val="0"/>
        <w:autoSpaceDN w:val="0"/>
        <w:adjustRightInd w:val="0"/>
        <w:rPr>
          <w:rFonts w:ascii="Arial" w:hAnsi="Arial" w:cs="Arial"/>
          <w:sz w:val="20"/>
          <w:szCs w:val="20"/>
        </w:rPr>
      </w:pPr>
    </w:p>
    <w:p w:rsidR="00EA4F26" w:rsidRPr="00F94EB0" w:rsidRDefault="00A7424B" w:rsidP="00B73DC2">
      <w:pPr>
        <w:autoSpaceDE w:val="0"/>
        <w:autoSpaceDN w:val="0"/>
        <w:adjustRightInd w:val="0"/>
        <w:rPr>
          <w:rFonts w:ascii="Arial" w:hAnsi="Arial" w:cs="Arial"/>
          <w:b/>
          <w:sz w:val="20"/>
          <w:szCs w:val="20"/>
        </w:rPr>
      </w:pPr>
      <w:r>
        <w:rPr>
          <w:rFonts w:ascii="Arial" w:hAnsi="Arial" w:cs="Arial"/>
          <w:sz w:val="20"/>
          <w:szCs w:val="20"/>
        </w:rPr>
        <w:t>In the Stage 2 final rule, CMS issued several changes to Stage 1 criteria</w:t>
      </w:r>
      <w:r w:rsidR="00C4475E">
        <w:rPr>
          <w:rFonts w:ascii="Arial" w:hAnsi="Arial" w:cs="Arial"/>
          <w:sz w:val="20"/>
          <w:szCs w:val="20"/>
        </w:rPr>
        <w:t xml:space="preserve"> scheduled to take place in the next few years, with some changes being optional in 2013</w:t>
      </w:r>
      <w:r w:rsidR="00FD5509">
        <w:rPr>
          <w:rFonts w:ascii="Arial" w:hAnsi="Arial" w:cs="Arial"/>
          <w:sz w:val="20"/>
          <w:szCs w:val="20"/>
        </w:rPr>
        <w:t>,</w:t>
      </w:r>
      <w:r w:rsidR="00C4475E">
        <w:rPr>
          <w:rFonts w:ascii="Arial" w:hAnsi="Arial" w:cs="Arial"/>
          <w:sz w:val="20"/>
          <w:szCs w:val="20"/>
        </w:rPr>
        <w:t xml:space="preserve"> and all changes taking place in 2014. </w:t>
      </w:r>
      <w:r w:rsidR="00F94EB0">
        <w:rPr>
          <w:rFonts w:ascii="Arial" w:hAnsi="Arial" w:cs="Arial"/>
          <w:b/>
          <w:sz w:val="20"/>
          <w:szCs w:val="20"/>
        </w:rPr>
        <w:t xml:space="preserve">In the </w:t>
      </w:r>
      <w:r w:rsidR="00705D4B">
        <w:rPr>
          <w:rFonts w:ascii="Arial" w:hAnsi="Arial" w:cs="Arial"/>
          <w:b/>
          <w:sz w:val="20"/>
          <w:szCs w:val="20"/>
        </w:rPr>
        <w:t xml:space="preserve">comments submitted to CMS on Stage 1, the Academy </w:t>
      </w:r>
      <w:r w:rsidR="00F94EB0">
        <w:rPr>
          <w:rFonts w:ascii="Arial" w:hAnsi="Arial" w:cs="Arial"/>
          <w:b/>
          <w:sz w:val="20"/>
          <w:szCs w:val="20"/>
        </w:rPr>
        <w:t>expressed concerns about the high thresholds necessary for EPs to successfully</w:t>
      </w:r>
      <w:r w:rsidR="00FD5509">
        <w:rPr>
          <w:rFonts w:ascii="Arial" w:hAnsi="Arial" w:cs="Arial"/>
          <w:b/>
          <w:sz w:val="20"/>
          <w:szCs w:val="20"/>
        </w:rPr>
        <w:t xml:space="preserve"> achieve meaningful use,</w:t>
      </w:r>
      <w:r w:rsidR="00F94EB0">
        <w:rPr>
          <w:rFonts w:ascii="Arial" w:hAnsi="Arial" w:cs="Arial"/>
          <w:b/>
          <w:sz w:val="20"/>
          <w:szCs w:val="20"/>
        </w:rPr>
        <w:t xml:space="preserve"> </w:t>
      </w:r>
      <w:r w:rsidR="00705D4B">
        <w:rPr>
          <w:rFonts w:ascii="Arial" w:hAnsi="Arial" w:cs="Arial"/>
          <w:b/>
          <w:sz w:val="20"/>
          <w:szCs w:val="20"/>
        </w:rPr>
        <w:t xml:space="preserve">and although these changes seek to help EPs meet the reporting criteria, the thresholds remain too high for many EPs. </w:t>
      </w:r>
    </w:p>
    <w:p w:rsidR="00A7424B" w:rsidRPr="00782192" w:rsidRDefault="00A7424B" w:rsidP="00B73DC2">
      <w:pPr>
        <w:autoSpaceDE w:val="0"/>
        <w:autoSpaceDN w:val="0"/>
        <w:adjustRightInd w:val="0"/>
        <w:rPr>
          <w:rFonts w:ascii="Arial" w:hAnsi="Arial" w:cs="Arial"/>
          <w:sz w:val="20"/>
          <w:szCs w:val="20"/>
        </w:rPr>
      </w:pPr>
    </w:p>
    <w:p w:rsidR="00B93506" w:rsidRPr="00BC232D" w:rsidRDefault="00B93506" w:rsidP="00B73DC2">
      <w:pPr>
        <w:pStyle w:val="ListParagraph"/>
        <w:numPr>
          <w:ilvl w:val="0"/>
          <w:numId w:val="5"/>
        </w:numPr>
        <w:autoSpaceDE w:val="0"/>
        <w:autoSpaceDN w:val="0"/>
        <w:adjustRightInd w:val="0"/>
        <w:rPr>
          <w:rFonts w:ascii="Arial" w:hAnsi="Arial" w:cs="Arial"/>
          <w:b/>
          <w:sz w:val="20"/>
          <w:szCs w:val="20"/>
        </w:rPr>
      </w:pPr>
      <w:r w:rsidRPr="00BC232D">
        <w:rPr>
          <w:rFonts w:ascii="Arial" w:hAnsi="Arial" w:cs="Arial"/>
          <w:b/>
          <w:sz w:val="20"/>
          <w:szCs w:val="20"/>
          <w:u w:val="single"/>
        </w:rPr>
        <w:t>Changes to Stage 1 Core Objectives</w:t>
      </w:r>
    </w:p>
    <w:p w:rsidR="00B93506" w:rsidRPr="00782192" w:rsidRDefault="00B93506" w:rsidP="00B73DC2">
      <w:pPr>
        <w:pStyle w:val="ListParagraph"/>
        <w:autoSpaceDE w:val="0"/>
        <w:autoSpaceDN w:val="0"/>
        <w:adjustRightInd w:val="0"/>
        <w:rPr>
          <w:rFonts w:ascii="Arial" w:hAnsi="Arial" w:cs="Arial"/>
          <w:sz w:val="20"/>
          <w:szCs w:val="20"/>
        </w:rPr>
      </w:pPr>
    </w:p>
    <w:p w:rsidR="00B93506" w:rsidRPr="00782192" w:rsidRDefault="00B93506" w:rsidP="00B73DC2">
      <w:pPr>
        <w:autoSpaceDE w:val="0"/>
        <w:autoSpaceDN w:val="0"/>
        <w:adjustRightInd w:val="0"/>
        <w:ind w:left="720"/>
        <w:rPr>
          <w:rFonts w:ascii="Arial" w:hAnsi="Arial" w:cs="Arial"/>
          <w:sz w:val="20"/>
          <w:szCs w:val="20"/>
        </w:rPr>
      </w:pPr>
      <w:r w:rsidRPr="00782192">
        <w:rPr>
          <w:rFonts w:ascii="Arial" w:hAnsi="Arial" w:cs="Arial"/>
          <w:b/>
          <w:sz w:val="20"/>
          <w:szCs w:val="20"/>
        </w:rPr>
        <w:t>C</w:t>
      </w:r>
      <w:r w:rsidR="00FD5509">
        <w:rPr>
          <w:rFonts w:ascii="Arial" w:hAnsi="Arial" w:cs="Arial"/>
          <w:b/>
          <w:sz w:val="20"/>
          <w:szCs w:val="20"/>
        </w:rPr>
        <w:t xml:space="preserve">omputerized </w:t>
      </w:r>
      <w:r w:rsidRPr="00782192">
        <w:rPr>
          <w:rFonts w:ascii="Arial" w:hAnsi="Arial" w:cs="Arial"/>
          <w:b/>
          <w:sz w:val="20"/>
          <w:szCs w:val="20"/>
        </w:rPr>
        <w:t>P</w:t>
      </w:r>
      <w:r w:rsidR="00FD5509">
        <w:rPr>
          <w:rFonts w:ascii="Arial" w:hAnsi="Arial" w:cs="Arial"/>
          <w:b/>
          <w:sz w:val="20"/>
          <w:szCs w:val="20"/>
        </w:rPr>
        <w:t xml:space="preserve">rovider </w:t>
      </w:r>
      <w:r w:rsidRPr="00782192">
        <w:rPr>
          <w:rFonts w:ascii="Arial" w:hAnsi="Arial" w:cs="Arial"/>
          <w:b/>
          <w:sz w:val="20"/>
          <w:szCs w:val="20"/>
        </w:rPr>
        <w:t>O</w:t>
      </w:r>
      <w:r w:rsidR="00FD5509">
        <w:rPr>
          <w:rFonts w:ascii="Arial" w:hAnsi="Arial" w:cs="Arial"/>
          <w:b/>
          <w:sz w:val="20"/>
          <w:szCs w:val="20"/>
        </w:rPr>
        <w:t xml:space="preserve">rder </w:t>
      </w:r>
      <w:r w:rsidRPr="00782192">
        <w:rPr>
          <w:rFonts w:ascii="Arial" w:hAnsi="Arial" w:cs="Arial"/>
          <w:b/>
          <w:sz w:val="20"/>
          <w:szCs w:val="20"/>
        </w:rPr>
        <w:t>E</w:t>
      </w:r>
      <w:r w:rsidR="00FD5509">
        <w:rPr>
          <w:rFonts w:ascii="Arial" w:hAnsi="Arial" w:cs="Arial"/>
          <w:b/>
          <w:sz w:val="20"/>
          <w:szCs w:val="20"/>
        </w:rPr>
        <w:t>ntry (CPOE)</w:t>
      </w:r>
      <w:r w:rsidRPr="00782192">
        <w:rPr>
          <w:rFonts w:ascii="Arial" w:hAnsi="Arial" w:cs="Arial"/>
          <w:b/>
          <w:sz w:val="20"/>
          <w:szCs w:val="20"/>
        </w:rPr>
        <w:t xml:space="preserve">: </w:t>
      </w:r>
      <w:r w:rsidRPr="00782192">
        <w:rPr>
          <w:rFonts w:ascii="Arial" w:hAnsi="Arial" w:cs="Arial"/>
          <w:sz w:val="20"/>
          <w:szCs w:val="20"/>
        </w:rPr>
        <w:t xml:space="preserve">Beginning in 2013, CMS is adding an optional alternate measure to the objective for computerized provider order entry (CPOE). The current measure for CPOE is based on the number of unique patients with a medication in their medication list that was entered using CPOE. The new, alternate measure is based on the total number of medication orders created during the EHR reporting period. This alternative reporting measure is </w:t>
      </w:r>
      <w:r w:rsidR="00FD5509">
        <w:rPr>
          <w:rFonts w:ascii="Arial" w:hAnsi="Arial" w:cs="Arial"/>
          <w:b/>
          <w:sz w:val="20"/>
          <w:szCs w:val="20"/>
        </w:rPr>
        <w:t>REQUIRED</w:t>
      </w:r>
      <w:r w:rsidR="00FD5509" w:rsidRPr="00782192">
        <w:rPr>
          <w:rFonts w:ascii="Arial" w:hAnsi="Arial" w:cs="Arial"/>
          <w:sz w:val="20"/>
          <w:szCs w:val="20"/>
        </w:rPr>
        <w:t xml:space="preserve"> </w:t>
      </w:r>
      <w:r w:rsidRPr="00782192">
        <w:rPr>
          <w:rFonts w:ascii="Arial" w:hAnsi="Arial" w:cs="Arial"/>
          <w:sz w:val="20"/>
          <w:szCs w:val="20"/>
        </w:rPr>
        <w:t xml:space="preserve">in Stage 2. </w:t>
      </w:r>
    </w:p>
    <w:p w:rsidR="00B93506" w:rsidRPr="00782192" w:rsidRDefault="00B93506" w:rsidP="00B73DC2">
      <w:pPr>
        <w:autoSpaceDE w:val="0"/>
        <w:autoSpaceDN w:val="0"/>
        <w:adjustRightInd w:val="0"/>
        <w:ind w:left="720"/>
        <w:rPr>
          <w:rFonts w:ascii="Arial" w:hAnsi="Arial" w:cs="Arial"/>
          <w:sz w:val="20"/>
          <w:szCs w:val="20"/>
        </w:rPr>
      </w:pPr>
    </w:p>
    <w:p w:rsidR="00B93506" w:rsidRPr="00782192" w:rsidRDefault="00B93506" w:rsidP="00B73DC2">
      <w:pPr>
        <w:autoSpaceDE w:val="0"/>
        <w:autoSpaceDN w:val="0"/>
        <w:adjustRightInd w:val="0"/>
        <w:ind w:left="720"/>
        <w:rPr>
          <w:rFonts w:ascii="Arial" w:hAnsi="Arial" w:cs="Arial"/>
          <w:sz w:val="20"/>
          <w:szCs w:val="20"/>
        </w:rPr>
      </w:pPr>
      <w:r w:rsidRPr="00782192">
        <w:rPr>
          <w:rFonts w:ascii="Arial" w:hAnsi="Arial" w:cs="Arial"/>
          <w:b/>
          <w:sz w:val="20"/>
          <w:szCs w:val="20"/>
        </w:rPr>
        <w:t xml:space="preserve">Electronic Prescribing (eRx): </w:t>
      </w:r>
      <w:r w:rsidRPr="00782192">
        <w:rPr>
          <w:rFonts w:ascii="Arial" w:hAnsi="Arial" w:cs="Arial"/>
          <w:sz w:val="20"/>
          <w:szCs w:val="20"/>
        </w:rPr>
        <w:t>Beginning in 2013, CMS is adding an additional exclusion to the objective for electronic prescribing for providers who are not within a 10 mile radius of a pharmacy that accepts electronic prescriptions.</w:t>
      </w:r>
    </w:p>
    <w:p w:rsidR="00B93506" w:rsidRPr="00782192" w:rsidRDefault="00B93506" w:rsidP="00B73DC2">
      <w:pPr>
        <w:autoSpaceDE w:val="0"/>
        <w:autoSpaceDN w:val="0"/>
        <w:adjustRightInd w:val="0"/>
        <w:ind w:left="720"/>
        <w:rPr>
          <w:rFonts w:ascii="Arial" w:hAnsi="Arial" w:cs="Arial"/>
          <w:b/>
          <w:sz w:val="20"/>
          <w:szCs w:val="20"/>
        </w:rPr>
      </w:pPr>
    </w:p>
    <w:p w:rsidR="00B93506" w:rsidRPr="00782192" w:rsidRDefault="00B93506" w:rsidP="00B73DC2">
      <w:pPr>
        <w:autoSpaceDE w:val="0"/>
        <w:autoSpaceDN w:val="0"/>
        <w:adjustRightInd w:val="0"/>
        <w:ind w:left="720"/>
        <w:rPr>
          <w:rFonts w:ascii="Arial" w:hAnsi="Arial" w:cs="Arial"/>
          <w:bCs/>
          <w:sz w:val="20"/>
          <w:szCs w:val="20"/>
        </w:rPr>
      </w:pPr>
      <w:r w:rsidRPr="00782192">
        <w:rPr>
          <w:rFonts w:ascii="Arial" w:hAnsi="Arial" w:cs="Arial"/>
          <w:b/>
          <w:sz w:val="20"/>
          <w:szCs w:val="20"/>
        </w:rPr>
        <w:t xml:space="preserve">Record and Chart Vital Signs: </w:t>
      </w:r>
      <w:r w:rsidRPr="00782192">
        <w:rPr>
          <w:rFonts w:ascii="Arial" w:hAnsi="Arial" w:cs="Arial"/>
          <w:sz w:val="20"/>
          <w:szCs w:val="20"/>
        </w:rPr>
        <w:t>Optional in 2013</w:t>
      </w:r>
      <w:r>
        <w:rPr>
          <w:rFonts w:ascii="Arial" w:hAnsi="Arial" w:cs="Arial"/>
          <w:sz w:val="20"/>
          <w:szCs w:val="20"/>
        </w:rPr>
        <w:t>,</w:t>
      </w:r>
      <w:r w:rsidRPr="00782192">
        <w:rPr>
          <w:rFonts w:ascii="Arial" w:hAnsi="Arial" w:cs="Arial"/>
          <w:sz w:val="20"/>
          <w:szCs w:val="20"/>
        </w:rPr>
        <w:t xml:space="preserve"> and mandatory in 2014, th</w:t>
      </w:r>
      <w:r>
        <w:rPr>
          <w:rFonts w:ascii="Arial" w:hAnsi="Arial" w:cs="Arial"/>
          <w:sz w:val="20"/>
          <w:szCs w:val="20"/>
        </w:rPr>
        <w:t>is</w:t>
      </w:r>
      <w:r w:rsidRPr="00782192">
        <w:rPr>
          <w:rFonts w:ascii="Arial" w:hAnsi="Arial" w:cs="Arial"/>
          <w:sz w:val="20"/>
          <w:szCs w:val="20"/>
        </w:rPr>
        <w:t xml:space="preserve"> new measure amends </w:t>
      </w:r>
      <w:r>
        <w:rPr>
          <w:rFonts w:ascii="Arial" w:hAnsi="Arial" w:cs="Arial"/>
          <w:sz w:val="20"/>
          <w:szCs w:val="20"/>
        </w:rPr>
        <w:t>the</w:t>
      </w:r>
      <w:r w:rsidRPr="00782192">
        <w:rPr>
          <w:rFonts w:ascii="Arial" w:hAnsi="Arial" w:cs="Arial"/>
          <w:sz w:val="20"/>
          <w:szCs w:val="20"/>
        </w:rPr>
        <w:t xml:space="preserve"> age limit to recording blood pressure for patients </w:t>
      </w:r>
      <w:r w:rsidR="00ED6840">
        <w:rPr>
          <w:rFonts w:ascii="Arial" w:hAnsi="Arial" w:cs="Arial"/>
          <w:bCs/>
          <w:sz w:val="20"/>
          <w:szCs w:val="20"/>
        </w:rPr>
        <w:t>ages 3 and older</w:t>
      </w:r>
      <w:r>
        <w:rPr>
          <w:rFonts w:ascii="Arial" w:hAnsi="Arial" w:cs="Arial"/>
          <w:bCs/>
          <w:sz w:val="20"/>
          <w:szCs w:val="20"/>
        </w:rPr>
        <w:t>,</w:t>
      </w:r>
      <w:r w:rsidRPr="00782192">
        <w:rPr>
          <w:rFonts w:ascii="Arial" w:hAnsi="Arial" w:cs="Arial"/>
          <w:b/>
          <w:bCs/>
          <w:sz w:val="20"/>
          <w:szCs w:val="20"/>
        </w:rPr>
        <w:t xml:space="preserve"> </w:t>
      </w:r>
      <w:r w:rsidRPr="00782192">
        <w:rPr>
          <w:rFonts w:ascii="Arial" w:hAnsi="Arial" w:cs="Arial"/>
          <w:sz w:val="20"/>
          <w:szCs w:val="20"/>
        </w:rPr>
        <w:t xml:space="preserve">and height and weight for patients of </w:t>
      </w:r>
      <w:r w:rsidRPr="00782192">
        <w:rPr>
          <w:rFonts w:ascii="Arial" w:hAnsi="Arial" w:cs="Arial"/>
          <w:bCs/>
          <w:sz w:val="20"/>
          <w:szCs w:val="20"/>
        </w:rPr>
        <w:t xml:space="preserve">all ages. There are also new exclusions for EPs that do not see patients over age 3, if height and weight or blood pressure are not relevant to their scope, or if all three are not relevant to their scope of practice. </w:t>
      </w:r>
    </w:p>
    <w:p w:rsidR="00B93506" w:rsidRPr="00782192" w:rsidRDefault="00B93506" w:rsidP="00B73DC2">
      <w:pPr>
        <w:autoSpaceDE w:val="0"/>
        <w:autoSpaceDN w:val="0"/>
        <w:adjustRightInd w:val="0"/>
        <w:ind w:left="720"/>
        <w:rPr>
          <w:rFonts w:ascii="Arial" w:hAnsi="Arial" w:cs="Arial"/>
          <w:sz w:val="20"/>
          <w:szCs w:val="20"/>
        </w:rPr>
      </w:pPr>
    </w:p>
    <w:p w:rsidR="00B93506" w:rsidRPr="00782192" w:rsidRDefault="00B93506" w:rsidP="00B73DC2">
      <w:pPr>
        <w:autoSpaceDE w:val="0"/>
        <w:autoSpaceDN w:val="0"/>
        <w:adjustRightInd w:val="0"/>
        <w:ind w:left="720"/>
        <w:rPr>
          <w:rFonts w:ascii="Arial" w:hAnsi="Arial" w:cs="Arial"/>
          <w:sz w:val="20"/>
          <w:szCs w:val="20"/>
        </w:rPr>
      </w:pPr>
      <w:r w:rsidRPr="00782192">
        <w:rPr>
          <w:rFonts w:ascii="Arial" w:hAnsi="Arial" w:cs="Arial"/>
          <w:b/>
          <w:sz w:val="20"/>
          <w:szCs w:val="20"/>
        </w:rPr>
        <w:t xml:space="preserve">Reporting Clinical Quality Measures: </w:t>
      </w:r>
      <w:r w:rsidRPr="00782192">
        <w:rPr>
          <w:rFonts w:ascii="Arial" w:hAnsi="Arial" w:cs="Arial"/>
          <w:sz w:val="20"/>
          <w:szCs w:val="20"/>
        </w:rPr>
        <w:t>CMS is removing the standalone objective from Stage 1 that requires providers to attest that they plan to report on clinical quality measures (CQM</w:t>
      </w:r>
      <w:r w:rsidR="00F42006">
        <w:rPr>
          <w:rFonts w:ascii="Arial" w:hAnsi="Arial" w:cs="Arial"/>
          <w:sz w:val="20"/>
          <w:szCs w:val="20"/>
        </w:rPr>
        <w:t>s</w:t>
      </w:r>
      <w:r w:rsidRPr="00782192">
        <w:rPr>
          <w:rFonts w:ascii="Arial" w:hAnsi="Arial" w:cs="Arial"/>
          <w:sz w:val="20"/>
          <w:szCs w:val="20"/>
        </w:rPr>
        <w:t>) because it is redundant. Providers still must report clinical quality measures to achieve meaningful use as part of the CQM requirements</w:t>
      </w:r>
      <w:r>
        <w:rPr>
          <w:rFonts w:ascii="Arial" w:hAnsi="Arial" w:cs="Arial"/>
          <w:sz w:val="20"/>
          <w:szCs w:val="20"/>
        </w:rPr>
        <w:t>.</w:t>
      </w:r>
    </w:p>
    <w:p w:rsidR="00B93506" w:rsidRPr="00782192" w:rsidRDefault="00B93506" w:rsidP="00B73DC2">
      <w:pPr>
        <w:autoSpaceDE w:val="0"/>
        <w:autoSpaceDN w:val="0"/>
        <w:adjustRightInd w:val="0"/>
        <w:ind w:left="720"/>
        <w:rPr>
          <w:rFonts w:ascii="Arial" w:hAnsi="Arial" w:cs="Arial"/>
          <w:b/>
          <w:sz w:val="20"/>
          <w:szCs w:val="20"/>
        </w:rPr>
      </w:pPr>
    </w:p>
    <w:p w:rsidR="00B93506" w:rsidRPr="00782192" w:rsidRDefault="00B93506" w:rsidP="00B73DC2">
      <w:pPr>
        <w:autoSpaceDE w:val="0"/>
        <w:autoSpaceDN w:val="0"/>
        <w:adjustRightInd w:val="0"/>
        <w:ind w:left="720"/>
        <w:rPr>
          <w:rFonts w:ascii="Arial" w:hAnsi="Arial" w:cs="Arial"/>
          <w:sz w:val="20"/>
          <w:szCs w:val="20"/>
        </w:rPr>
      </w:pPr>
      <w:r w:rsidRPr="00782192">
        <w:rPr>
          <w:rFonts w:ascii="Arial" w:hAnsi="Arial" w:cs="Arial"/>
          <w:b/>
          <w:sz w:val="20"/>
          <w:szCs w:val="20"/>
        </w:rPr>
        <w:t>Electronic Copy of</w:t>
      </w:r>
      <w:r w:rsidR="00F42006">
        <w:rPr>
          <w:rFonts w:ascii="Arial" w:hAnsi="Arial" w:cs="Arial"/>
          <w:b/>
          <w:sz w:val="20"/>
          <w:szCs w:val="20"/>
        </w:rPr>
        <w:t>,</w:t>
      </w:r>
      <w:r w:rsidRPr="00782192">
        <w:rPr>
          <w:rFonts w:ascii="Arial" w:hAnsi="Arial" w:cs="Arial"/>
          <w:b/>
          <w:sz w:val="20"/>
          <w:szCs w:val="20"/>
        </w:rPr>
        <w:t xml:space="preserve"> and Access to</w:t>
      </w:r>
      <w:r w:rsidR="00F42006">
        <w:rPr>
          <w:rFonts w:ascii="Arial" w:hAnsi="Arial" w:cs="Arial"/>
          <w:b/>
          <w:sz w:val="20"/>
          <w:szCs w:val="20"/>
        </w:rPr>
        <w:t>,</w:t>
      </w:r>
      <w:r w:rsidRPr="00782192">
        <w:rPr>
          <w:rFonts w:ascii="Arial" w:hAnsi="Arial" w:cs="Arial"/>
          <w:b/>
          <w:sz w:val="20"/>
          <w:szCs w:val="20"/>
        </w:rPr>
        <w:t xml:space="preserve"> Health Information: </w:t>
      </w:r>
      <w:r w:rsidRPr="00782192">
        <w:rPr>
          <w:rFonts w:ascii="Arial" w:hAnsi="Arial" w:cs="Arial"/>
          <w:sz w:val="20"/>
          <w:szCs w:val="20"/>
        </w:rPr>
        <w:t>In 2014, EPs must provide more than 50</w:t>
      </w:r>
      <w:r>
        <w:rPr>
          <w:rFonts w:ascii="Arial" w:hAnsi="Arial" w:cs="Arial"/>
          <w:sz w:val="20"/>
          <w:szCs w:val="20"/>
        </w:rPr>
        <w:t xml:space="preserve"> percent</w:t>
      </w:r>
      <w:r w:rsidRPr="00782192">
        <w:rPr>
          <w:rFonts w:ascii="Arial" w:hAnsi="Arial" w:cs="Arial"/>
          <w:sz w:val="20"/>
          <w:szCs w:val="20"/>
        </w:rPr>
        <w:t xml:space="preserve"> of all unique patients the ability to view online, download, and transmit their health information within 4 business days of the information being available to the EP. </w:t>
      </w:r>
    </w:p>
    <w:p w:rsidR="00B93506" w:rsidRPr="00782192" w:rsidRDefault="00B93506" w:rsidP="00B73DC2">
      <w:pPr>
        <w:autoSpaceDE w:val="0"/>
        <w:autoSpaceDN w:val="0"/>
        <w:adjustRightInd w:val="0"/>
        <w:ind w:left="720"/>
        <w:rPr>
          <w:rFonts w:ascii="Arial" w:hAnsi="Arial" w:cs="Arial"/>
          <w:sz w:val="20"/>
          <w:szCs w:val="20"/>
        </w:rPr>
      </w:pPr>
    </w:p>
    <w:p w:rsidR="00B93506" w:rsidRDefault="00B93506" w:rsidP="00B73DC2">
      <w:pPr>
        <w:autoSpaceDE w:val="0"/>
        <w:autoSpaceDN w:val="0"/>
        <w:adjustRightInd w:val="0"/>
        <w:ind w:left="720"/>
        <w:rPr>
          <w:rFonts w:ascii="Arial" w:hAnsi="Arial" w:cs="Arial"/>
          <w:sz w:val="20"/>
          <w:szCs w:val="20"/>
        </w:rPr>
      </w:pPr>
      <w:r w:rsidRPr="00782192">
        <w:rPr>
          <w:rFonts w:ascii="Arial" w:hAnsi="Arial" w:cs="Arial"/>
          <w:b/>
          <w:sz w:val="20"/>
          <w:szCs w:val="20"/>
        </w:rPr>
        <w:t xml:space="preserve">Public Health Reporting Objectives: </w:t>
      </w:r>
      <w:r w:rsidRPr="00782192">
        <w:rPr>
          <w:rFonts w:ascii="Arial" w:hAnsi="Arial" w:cs="Arial"/>
          <w:sz w:val="20"/>
          <w:szCs w:val="20"/>
        </w:rPr>
        <w:t>Beginning in 2013, all of the Stage 1 public health objectives (submitting data to an immunization registry, submitting data to a syndromic surveillance database, or submitting reportable lab results to a public health agency) will require that providers perform at least one test of their Certified EHR Technology’s capability to send data to public health agencies, except where prohibited.</w:t>
      </w:r>
    </w:p>
    <w:p w:rsidR="000F6F95" w:rsidRPr="00782192" w:rsidRDefault="000F6F95" w:rsidP="00B73DC2">
      <w:pPr>
        <w:autoSpaceDE w:val="0"/>
        <w:autoSpaceDN w:val="0"/>
        <w:adjustRightInd w:val="0"/>
        <w:ind w:left="720"/>
        <w:rPr>
          <w:rFonts w:ascii="Arial" w:hAnsi="Arial" w:cs="Arial"/>
          <w:sz w:val="20"/>
          <w:szCs w:val="20"/>
        </w:rPr>
      </w:pPr>
    </w:p>
    <w:p w:rsidR="000F6F95" w:rsidRPr="00BC232D" w:rsidRDefault="000F6F95" w:rsidP="00B73DC2">
      <w:pPr>
        <w:pStyle w:val="ListParagraph"/>
        <w:numPr>
          <w:ilvl w:val="0"/>
          <w:numId w:val="5"/>
        </w:numPr>
        <w:autoSpaceDE w:val="0"/>
        <w:autoSpaceDN w:val="0"/>
        <w:adjustRightInd w:val="0"/>
        <w:rPr>
          <w:rFonts w:ascii="Arial" w:hAnsi="Arial" w:cs="Arial"/>
          <w:b/>
          <w:sz w:val="20"/>
          <w:szCs w:val="20"/>
          <w:u w:val="single"/>
        </w:rPr>
      </w:pPr>
      <w:r w:rsidRPr="00BC232D">
        <w:rPr>
          <w:rFonts w:ascii="Arial" w:hAnsi="Arial" w:cs="Arial"/>
          <w:b/>
          <w:sz w:val="20"/>
          <w:szCs w:val="20"/>
          <w:u w:val="single"/>
        </w:rPr>
        <w:t>Changes to Stage 1 Menu Objective Reporting</w:t>
      </w:r>
    </w:p>
    <w:p w:rsidR="000F6F95" w:rsidRDefault="000F6F95" w:rsidP="00B73DC2">
      <w:pPr>
        <w:autoSpaceDE w:val="0"/>
        <w:autoSpaceDN w:val="0"/>
        <w:adjustRightInd w:val="0"/>
        <w:ind w:left="720"/>
        <w:rPr>
          <w:rFonts w:ascii="Arial" w:hAnsi="Arial" w:cs="Arial"/>
          <w:sz w:val="20"/>
          <w:szCs w:val="20"/>
        </w:rPr>
      </w:pPr>
      <w:r w:rsidRPr="00782192">
        <w:rPr>
          <w:rFonts w:ascii="Arial" w:hAnsi="Arial" w:cs="Arial"/>
          <w:sz w:val="20"/>
          <w:szCs w:val="20"/>
        </w:rPr>
        <w:t>Starting in 2014, EPs will no longer be able to claim an exclusion from reporting a menu objective if there are other menu objectives they can meet and report</w:t>
      </w:r>
      <w:r>
        <w:rPr>
          <w:rFonts w:ascii="Arial" w:hAnsi="Arial" w:cs="Arial"/>
          <w:sz w:val="20"/>
          <w:szCs w:val="20"/>
        </w:rPr>
        <w:t xml:space="preserve"> on</w:t>
      </w:r>
      <w:r w:rsidRPr="00782192">
        <w:rPr>
          <w:rFonts w:ascii="Arial" w:hAnsi="Arial" w:cs="Arial"/>
          <w:sz w:val="20"/>
          <w:szCs w:val="20"/>
        </w:rPr>
        <w:t>. EPs will not be penalized for selecting a menu objective and claiming the exclusion if they would also qualify for the exclusions for all the remaining menu objectives.</w:t>
      </w:r>
    </w:p>
    <w:p w:rsidR="00D32853" w:rsidRDefault="00D32853" w:rsidP="00B73DC2">
      <w:pPr>
        <w:autoSpaceDE w:val="0"/>
        <w:autoSpaceDN w:val="0"/>
        <w:adjustRightInd w:val="0"/>
        <w:ind w:left="720"/>
        <w:rPr>
          <w:rFonts w:ascii="Arial" w:hAnsi="Arial" w:cs="Arial"/>
          <w:sz w:val="20"/>
          <w:szCs w:val="20"/>
        </w:rPr>
      </w:pPr>
    </w:p>
    <w:p w:rsidR="00D32853" w:rsidRPr="00782192" w:rsidRDefault="00D32853" w:rsidP="00B73DC2">
      <w:pPr>
        <w:autoSpaceDE w:val="0"/>
        <w:autoSpaceDN w:val="0"/>
        <w:adjustRightInd w:val="0"/>
        <w:ind w:left="720"/>
        <w:rPr>
          <w:rFonts w:ascii="Arial" w:hAnsi="Arial" w:cs="Arial"/>
          <w:sz w:val="20"/>
          <w:szCs w:val="20"/>
        </w:rPr>
      </w:pPr>
      <w:r>
        <w:rPr>
          <w:rFonts w:ascii="Arial" w:hAnsi="Arial" w:cs="Arial"/>
          <w:sz w:val="20"/>
          <w:szCs w:val="20"/>
        </w:rPr>
        <w:lastRenderedPageBreak/>
        <w:t xml:space="preserve">For questions about </w:t>
      </w:r>
      <w:bookmarkStart w:id="0" w:name="_GoBack"/>
      <w:bookmarkEnd w:id="0"/>
      <w:r>
        <w:rPr>
          <w:rFonts w:ascii="Arial" w:hAnsi="Arial" w:cs="Arial"/>
          <w:sz w:val="20"/>
          <w:szCs w:val="20"/>
        </w:rPr>
        <w:t xml:space="preserve">changes to EHR Meaningful Use Stage 2, contact </w:t>
      </w:r>
      <w:hyperlink r:id="rId10" w:history="1">
        <w:r w:rsidRPr="006D169F">
          <w:rPr>
            <w:rStyle w:val="Hyperlink"/>
            <w:rFonts w:ascii="Arial" w:hAnsi="Arial" w:cs="Arial"/>
            <w:sz w:val="20"/>
            <w:szCs w:val="20"/>
          </w:rPr>
          <w:t>HealthPolicy@entnet.org</w:t>
        </w:r>
      </w:hyperlink>
      <w:r>
        <w:rPr>
          <w:rFonts w:ascii="Arial" w:hAnsi="Arial" w:cs="Arial"/>
          <w:sz w:val="20"/>
          <w:szCs w:val="20"/>
        </w:rPr>
        <w:t xml:space="preserve">. </w:t>
      </w:r>
    </w:p>
    <w:p w:rsidR="00B93506" w:rsidRPr="00B93506" w:rsidRDefault="00B93506" w:rsidP="00AF7305">
      <w:pPr>
        <w:rPr>
          <w:rFonts w:ascii="Arial" w:hAnsi="Arial" w:cs="Arial"/>
          <w:i/>
          <w:sz w:val="20"/>
          <w:szCs w:val="20"/>
        </w:rPr>
      </w:pPr>
    </w:p>
    <w:sectPr w:rsidR="00B93506" w:rsidRPr="00B93506" w:rsidSect="00201D48">
      <w:headerReference w:type="default" r:id="rId11"/>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D08" w:rsidRDefault="00D62D08" w:rsidP="003D7D99">
      <w:r>
        <w:separator/>
      </w:r>
    </w:p>
  </w:endnote>
  <w:endnote w:type="continuationSeparator" w:id="0">
    <w:p w:rsidR="00D62D08" w:rsidRDefault="00D62D08" w:rsidP="003D7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D08" w:rsidRDefault="00D62D08" w:rsidP="003D7D99">
      <w:r>
        <w:separator/>
      </w:r>
    </w:p>
  </w:footnote>
  <w:footnote w:type="continuationSeparator" w:id="0">
    <w:p w:rsidR="00D62D08" w:rsidRDefault="00D62D08" w:rsidP="003D7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95" w:rsidRDefault="00E91295">
    <w:pPr>
      <w:pStyle w:val="Header"/>
    </w:pPr>
    <w:r>
      <w:rPr>
        <w:noProof/>
      </w:rPr>
      <w:drawing>
        <wp:anchor distT="0" distB="0" distL="114300" distR="114300" simplePos="0" relativeHeight="251658240" behindDoc="1" locked="1" layoutInCell="1" allowOverlap="0">
          <wp:simplePos x="0" y="0"/>
          <wp:positionH relativeFrom="page">
            <wp:posOffset>2735580</wp:posOffset>
          </wp:positionH>
          <wp:positionV relativeFrom="page">
            <wp:posOffset>264160</wp:posOffset>
          </wp:positionV>
          <wp:extent cx="2042160" cy="661035"/>
          <wp:effectExtent l="19050" t="0" r="0" b="0"/>
          <wp:wrapNone/>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srcRect/>
                  <a:stretch>
                    <a:fillRect/>
                  </a:stretch>
                </pic:blipFill>
                <pic:spPr bwMode="auto">
                  <a:xfrm>
                    <a:off x="0" y="0"/>
                    <a:ext cx="2042160" cy="6610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BB6031"/>
    <w:multiLevelType w:val="hybridMultilevel"/>
    <w:tmpl w:val="26527F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CF33D3"/>
    <w:multiLevelType w:val="hybridMultilevel"/>
    <w:tmpl w:val="FBF224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E701E"/>
    <w:multiLevelType w:val="hybridMultilevel"/>
    <w:tmpl w:val="F956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A3AC4"/>
    <w:multiLevelType w:val="hybridMultilevel"/>
    <w:tmpl w:val="D568ED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04728A2"/>
    <w:multiLevelType w:val="hybridMultilevel"/>
    <w:tmpl w:val="B94E8D2C"/>
    <w:lvl w:ilvl="0" w:tplc="579212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26885"/>
    <w:multiLevelType w:val="hybridMultilevel"/>
    <w:tmpl w:val="08DF8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32C347B"/>
    <w:multiLevelType w:val="hybridMultilevel"/>
    <w:tmpl w:val="2D20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706F5"/>
    <w:multiLevelType w:val="hybridMultilevel"/>
    <w:tmpl w:val="4A04D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F4C33"/>
    <w:multiLevelType w:val="hybridMultilevel"/>
    <w:tmpl w:val="FBF224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92F61"/>
    <w:multiLevelType w:val="hybridMultilevel"/>
    <w:tmpl w:val="5F907A18"/>
    <w:lvl w:ilvl="0" w:tplc="8C9220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3"/>
  </w:num>
  <w:num w:numId="5">
    <w:abstractNumId w:val="8"/>
  </w:num>
  <w:num w:numId="6">
    <w:abstractNumId w:val="4"/>
  </w:num>
  <w:num w:numId="7">
    <w:abstractNumId w:val="1"/>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3D7D99"/>
    <w:rsid w:val="00014861"/>
    <w:rsid w:val="00043837"/>
    <w:rsid w:val="0007413C"/>
    <w:rsid w:val="00094EBC"/>
    <w:rsid w:val="00095A58"/>
    <w:rsid w:val="000C35EC"/>
    <w:rsid w:val="000F6F95"/>
    <w:rsid w:val="000F708A"/>
    <w:rsid w:val="0019254F"/>
    <w:rsid w:val="001C761E"/>
    <w:rsid w:val="001E6D84"/>
    <w:rsid w:val="001F4354"/>
    <w:rsid w:val="00201D48"/>
    <w:rsid w:val="00213A49"/>
    <w:rsid w:val="0024355D"/>
    <w:rsid w:val="00245304"/>
    <w:rsid w:val="002C600E"/>
    <w:rsid w:val="003159BE"/>
    <w:rsid w:val="003453B5"/>
    <w:rsid w:val="00345D6C"/>
    <w:rsid w:val="00365F32"/>
    <w:rsid w:val="00385698"/>
    <w:rsid w:val="003D3763"/>
    <w:rsid w:val="003D7D99"/>
    <w:rsid w:val="003E4D5F"/>
    <w:rsid w:val="00445308"/>
    <w:rsid w:val="004B476D"/>
    <w:rsid w:val="004F51F9"/>
    <w:rsid w:val="005305CF"/>
    <w:rsid w:val="0055749B"/>
    <w:rsid w:val="005735CE"/>
    <w:rsid w:val="005736C2"/>
    <w:rsid w:val="00575D31"/>
    <w:rsid w:val="00584BC8"/>
    <w:rsid w:val="00591C2A"/>
    <w:rsid w:val="00592B06"/>
    <w:rsid w:val="005B2F25"/>
    <w:rsid w:val="005B4337"/>
    <w:rsid w:val="005D16AA"/>
    <w:rsid w:val="005D2089"/>
    <w:rsid w:val="005D494A"/>
    <w:rsid w:val="006352F5"/>
    <w:rsid w:val="006459CB"/>
    <w:rsid w:val="00646541"/>
    <w:rsid w:val="006736AE"/>
    <w:rsid w:val="00687B7B"/>
    <w:rsid w:val="00695021"/>
    <w:rsid w:val="006A57C5"/>
    <w:rsid w:val="00705D4B"/>
    <w:rsid w:val="0071760A"/>
    <w:rsid w:val="0076247A"/>
    <w:rsid w:val="00782192"/>
    <w:rsid w:val="007B303E"/>
    <w:rsid w:val="007F6479"/>
    <w:rsid w:val="00830E3A"/>
    <w:rsid w:val="008402C6"/>
    <w:rsid w:val="00846343"/>
    <w:rsid w:val="008B0ABB"/>
    <w:rsid w:val="008D7AD5"/>
    <w:rsid w:val="008F5202"/>
    <w:rsid w:val="00974093"/>
    <w:rsid w:val="009841A7"/>
    <w:rsid w:val="009864CA"/>
    <w:rsid w:val="00995CB4"/>
    <w:rsid w:val="009D0A86"/>
    <w:rsid w:val="009D67F2"/>
    <w:rsid w:val="00A0057D"/>
    <w:rsid w:val="00A264B3"/>
    <w:rsid w:val="00A6439D"/>
    <w:rsid w:val="00A7424B"/>
    <w:rsid w:val="00AD61CC"/>
    <w:rsid w:val="00AE658B"/>
    <w:rsid w:val="00AF7305"/>
    <w:rsid w:val="00B0690E"/>
    <w:rsid w:val="00B1075F"/>
    <w:rsid w:val="00B35DBD"/>
    <w:rsid w:val="00B441F5"/>
    <w:rsid w:val="00B73DC2"/>
    <w:rsid w:val="00B8372C"/>
    <w:rsid w:val="00B93506"/>
    <w:rsid w:val="00BB1CC3"/>
    <w:rsid w:val="00BC232D"/>
    <w:rsid w:val="00C13964"/>
    <w:rsid w:val="00C4475E"/>
    <w:rsid w:val="00CC1F4E"/>
    <w:rsid w:val="00CF558B"/>
    <w:rsid w:val="00D125BA"/>
    <w:rsid w:val="00D32853"/>
    <w:rsid w:val="00D32FD7"/>
    <w:rsid w:val="00D42C51"/>
    <w:rsid w:val="00D62D08"/>
    <w:rsid w:val="00D931C8"/>
    <w:rsid w:val="00DE2A84"/>
    <w:rsid w:val="00E24B47"/>
    <w:rsid w:val="00E56453"/>
    <w:rsid w:val="00E77871"/>
    <w:rsid w:val="00E91295"/>
    <w:rsid w:val="00EA4F26"/>
    <w:rsid w:val="00ED6840"/>
    <w:rsid w:val="00F37FED"/>
    <w:rsid w:val="00F42006"/>
    <w:rsid w:val="00F43DEE"/>
    <w:rsid w:val="00F675A4"/>
    <w:rsid w:val="00F76776"/>
    <w:rsid w:val="00F94EB0"/>
    <w:rsid w:val="00FB2202"/>
    <w:rsid w:val="00FC04C5"/>
    <w:rsid w:val="00FD5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7D99"/>
    <w:pPr>
      <w:tabs>
        <w:tab w:val="center" w:pos="4680"/>
        <w:tab w:val="right" w:pos="9360"/>
      </w:tabs>
    </w:pPr>
  </w:style>
  <w:style w:type="character" w:customStyle="1" w:styleId="HeaderChar">
    <w:name w:val="Header Char"/>
    <w:basedOn w:val="DefaultParagraphFont"/>
    <w:link w:val="Header"/>
    <w:uiPriority w:val="99"/>
    <w:semiHidden/>
    <w:rsid w:val="003D7D99"/>
  </w:style>
  <w:style w:type="paragraph" w:styleId="Footer">
    <w:name w:val="footer"/>
    <w:basedOn w:val="Normal"/>
    <w:link w:val="FooterChar"/>
    <w:uiPriority w:val="99"/>
    <w:semiHidden/>
    <w:unhideWhenUsed/>
    <w:rsid w:val="003D7D99"/>
    <w:pPr>
      <w:tabs>
        <w:tab w:val="center" w:pos="4680"/>
        <w:tab w:val="right" w:pos="9360"/>
      </w:tabs>
    </w:pPr>
  </w:style>
  <w:style w:type="character" w:customStyle="1" w:styleId="FooterChar">
    <w:name w:val="Footer Char"/>
    <w:basedOn w:val="DefaultParagraphFont"/>
    <w:link w:val="Footer"/>
    <w:uiPriority w:val="99"/>
    <w:semiHidden/>
    <w:rsid w:val="003D7D99"/>
  </w:style>
  <w:style w:type="paragraph" w:styleId="NormalWeb">
    <w:name w:val="Normal (Web)"/>
    <w:basedOn w:val="Normal"/>
    <w:rsid w:val="003D7D99"/>
    <w:pPr>
      <w:spacing w:after="300"/>
    </w:pPr>
    <w:rPr>
      <w:rFonts w:ascii="Verdana" w:eastAsia="Times New Roman" w:hAnsi="Verdana"/>
      <w:sz w:val="20"/>
      <w:szCs w:val="20"/>
    </w:rPr>
  </w:style>
  <w:style w:type="character" w:styleId="Strong">
    <w:name w:val="Strong"/>
    <w:uiPriority w:val="22"/>
    <w:qFormat/>
    <w:rsid w:val="003D7D99"/>
    <w:rPr>
      <w:b/>
      <w:bCs/>
    </w:rPr>
  </w:style>
  <w:style w:type="paragraph" w:customStyle="1" w:styleId="Default">
    <w:name w:val="Default"/>
    <w:rsid w:val="0071760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B1075F"/>
    <w:rPr>
      <w:color w:val="0000FF" w:themeColor="hyperlink"/>
      <w:u w:val="single"/>
    </w:rPr>
  </w:style>
  <w:style w:type="paragraph" w:styleId="ListParagraph">
    <w:name w:val="List Paragraph"/>
    <w:basedOn w:val="Normal"/>
    <w:uiPriority w:val="34"/>
    <w:qFormat/>
    <w:rsid w:val="00B1075F"/>
    <w:pPr>
      <w:ind w:left="720"/>
      <w:contextualSpacing/>
    </w:pPr>
  </w:style>
  <w:style w:type="character" w:styleId="FollowedHyperlink">
    <w:name w:val="FollowedHyperlink"/>
    <w:basedOn w:val="DefaultParagraphFont"/>
    <w:uiPriority w:val="99"/>
    <w:semiHidden/>
    <w:unhideWhenUsed/>
    <w:rsid w:val="00F76776"/>
    <w:rPr>
      <w:color w:val="800080" w:themeColor="followedHyperlink"/>
      <w:u w:val="single"/>
    </w:rPr>
  </w:style>
  <w:style w:type="table" w:styleId="TableGrid">
    <w:name w:val="Table Grid"/>
    <w:basedOn w:val="TableNormal"/>
    <w:uiPriority w:val="59"/>
    <w:rsid w:val="007F6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32D"/>
    <w:rPr>
      <w:rFonts w:ascii="Tahoma" w:hAnsi="Tahoma" w:cs="Tahoma"/>
      <w:sz w:val="16"/>
      <w:szCs w:val="16"/>
    </w:rPr>
  </w:style>
  <w:style w:type="character" w:customStyle="1" w:styleId="BalloonTextChar">
    <w:name w:val="Balloon Text Char"/>
    <w:basedOn w:val="DefaultParagraphFont"/>
    <w:link w:val="BalloonText"/>
    <w:uiPriority w:val="99"/>
    <w:semiHidden/>
    <w:rsid w:val="00BC232D"/>
    <w:rPr>
      <w:rFonts w:ascii="Tahoma" w:hAnsi="Tahoma" w:cs="Tahoma"/>
      <w:sz w:val="16"/>
      <w:szCs w:val="16"/>
    </w:rPr>
  </w:style>
  <w:style w:type="character" w:styleId="CommentReference">
    <w:name w:val="annotation reference"/>
    <w:basedOn w:val="DefaultParagraphFont"/>
    <w:uiPriority w:val="99"/>
    <w:semiHidden/>
    <w:unhideWhenUsed/>
    <w:rsid w:val="00BC232D"/>
    <w:rPr>
      <w:sz w:val="16"/>
      <w:szCs w:val="16"/>
    </w:rPr>
  </w:style>
  <w:style w:type="paragraph" w:styleId="CommentText">
    <w:name w:val="annotation text"/>
    <w:basedOn w:val="Normal"/>
    <w:link w:val="CommentTextChar"/>
    <w:uiPriority w:val="99"/>
    <w:semiHidden/>
    <w:unhideWhenUsed/>
    <w:rsid w:val="00BC232D"/>
    <w:rPr>
      <w:sz w:val="20"/>
      <w:szCs w:val="20"/>
    </w:rPr>
  </w:style>
  <w:style w:type="character" w:customStyle="1" w:styleId="CommentTextChar">
    <w:name w:val="Comment Text Char"/>
    <w:basedOn w:val="DefaultParagraphFont"/>
    <w:link w:val="CommentText"/>
    <w:uiPriority w:val="99"/>
    <w:semiHidden/>
    <w:rsid w:val="00BC232D"/>
    <w:rPr>
      <w:sz w:val="20"/>
      <w:szCs w:val="20"/>
    </w:rPr>
  </w:style>
  <w:style w:type="paragraph" w:styleId="CommentSubject">
    <w:name w:val="annotation subject"/>
    <w:basedOn w:val="CommentText"/>
    <w:next w:val="CommentText"/>
    <w:link w:val="CommentSubjectChar"/>
    <w:uiPriority w:val="99"/>
    <w:semiHidden/>
    <w:unhideWhenUsed/>
    <w:rsid w:val="00BC232D"/>
    <w:rPr>
      <w:b/>
      <w:bCs/>
    </w:rPr>
  </w:style>
  <w:style w:type="character" w:customStyle="1" w:styleId="CommentSubjectChar">
    <w:name w:val="Comment Subject Char"/>
    <w:basedOn w:val="CommentTextChar"/>
    <w:link w:val="CommentSubject"/>
    <w:uiPriority w:val="99"/>
    <w:semiHidden/>
    <w:rsid w:val="00BC23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7D99"/>
    <w:pPr>
      <w:tabs>
        <w:tab w:val="center" w:pos="4680"/>
        <w:tab w:val="right" w:pos="9360"/>
      </w:tabs>
    </w:pPr>
  </w:style>
  <w:style w:type="character" w:customStyle="1" w:styleId="HeaderChar">
    <w:name w:val="Header Char"/>
    <w:basedOn w:val="DefaultParagraphFont"/>
    <w:link w:val="Header"/>
    <w:uiPriority w:val="99"/>
    <w:semiHidden/>
    <w:rsid w:val="003D7D99"/>
  </w:style>
  <w:style w:type="paragraph" w:styleId="Footer">
    <w:name w:val="footer"/>
    <w:basedOn w:val="Normal"/>
    <w:link w:val="FooterChar"/>
    <w:uiPriority w:val="99"/>
    <w:semiHidden/>
    <w:unhideWhenUsed/>
    <w:rsid w:val="003D7D99"/>
    <w:pPr>
      <w:tabs>
        <w:tab w:val="center" w:pos="4680"/>
        <w:tab w:val="right" w:pos="9360"/>
      </w:tabs>
    </w:pPr>
  </w:style>
  <w:style w:type="character" w:customStyle="1" w:styleId="FooterChar">
    <w:name w:val="Footer Char"/>
    <w:basedOn w:val="DefaultParagraphFont"/>
    <w:link w:val="Footer"/>
    <w:uiPriority w:val="99"/>
    <w:semiHidden/>
    <w:rsid w:val="003D7D99"/>
  </w:style>
  <w:style w:type="paragraph" w:styleId="NormalWeb">
    <w:name w:val="Normal (Web)"/>
    <w:basedOn w:val="Normal"/>
    <w:rsid w:val="003D7D99"/>
    <w:pPr>
      <w:spacing w:after="300"/>
    </w:pPr>
    <w:rPr>
      <w:rFonts w:ascii="Verdana" w:eastAsia="Times New Roman" w:hAnsi="Verdana"/>
      <w:sz w:val="20"/>
      <w:szCs w:val="20"/>
    </w:rPr>
  </w:style>
  <w:style w:type="character" w:styleId="Strong">
    <w:name w:val="Strong"/>
    <w:uiPriority w:val="22"/>
    <w:qFormat/>
    <w:rsid w:val="003D7D99"/>
    <w:rPr>
      <w:b/>
      <w:bCs/>
    </w:rPr>
  </w:style>
  <w:style w:type="paragraph" w:customStyle="1" w:styleId="Default">
    <w:name w:val="Default"/>
    <w:rsid w:val="0071760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B1075F"/>
    <w:rPr>
      <w:color w:val="0000FF" w:themeColor="hyperlink"/>
      <w:u w:val="single"/>
    </w:rPr>
  </w:style>
  <w:style w:type="paragraph" w:styleId="ListParagraph">
    <w:name w:val="List Paragraph"/>
    <w:basedOn w:val="Normal"/>
    <w:uiPriority w:val="34"/>
    <w:qFormat/>
    <w:rsid w:val="00B1075F"/>
    <w:pPr>
      <w:ind w:left="720"/>
      <w:contextualSpacing/>
    </w:pPr>
  </w:style>
  <w:style w:type="character" w:styleId="FollowedHyperlink">
    <w:name w:val="FollowedHyperlink"/>
    <w:basedOn w:val="DefaultParagraphFont"/>
    <w:uiPriority w:val="99"/>
    <w:semiHidden/>
    <w:unhideWhenUsed/>
    <w:rsid w:val="00F76776"/>
    <w:rPr>
      <w:color w:val="800080" w:themeColor="followedHyperlink"/>
      <w:u w:val="single"/>
    </w:rPr>
  </w:style>
  <w:style w:type="table" w:styleId="TableGrid">
    <w:name w:val="Table Grid"/>
    <w:basedOn w:val="TableNormal"/>
    <w:uiPriority w:val="59"/>
    <w:rsid w:val="007F6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32D"/>
    <w:rPr>
      <w:rFonts w:ascii="Tahoma" w:hAnsi="Tahoma" w:cs="Tahoma"/>
      <w:sz w:val="16"/>
      <w:szCs w:val="16"/>
    </w:rPr>
  </w:style>
  <w:style w:type="character" w:customStyle="1" w:styleId="BalloonTextChar">
    <w:name w:val="Balloon Text Char"/>
    <w:basedOn w:val="DefaultParagraphFont"/>
    <w:link w:val="BalloonText"/>
    <w:uiPriority w:val="99"/>
    <w:semiHidden/>
    <w:rsid w:val="00BC232D"/>
    <w:rPr>
      <w:rFonts w:ascii="Tahoma" w:hAnsi="Tahoma" w:cs="Tahoma"/>
      <w:sz w:val="16"/>
      <w:szCs w:val="16"/>
    </w:rPr>
  </w:style>
  <w:style w:type="character" w:styleId="CommentReference">
    <w:name w:val="annotation reference"/>
    <w:basedOn w:val="DefaultParagraphFont"/>
    <w:uiPriority w:val="99"/>
    <w:semiHidden/>
    <w:unhideWhenUsed/>
    <w:rsid w:val="00BC232D"/>
    <w:rPr>
      <w:sz w:val="16"/>
      <w:szCs w:val="16"/>
    </w:rPr>
  </w:style>
  <w:style w:type="paragraph" w:styleId="CommentText">
    <w:name w:val="annotation text"/>
    <w:basedOn w:val="Normal"/>
    <w:link w:val="CommentTextChar"/>
    <w:uiPriority w:val="99"/>
    <w:semiHidden/>
    <w:unhideWhenUsed/>
    <w:rsid w:val="00BC232D"/>
    <w:rPr>
      <w:sz w:val="20"/>
      <w:szCs w:val="20"/>
    </w:rPr>
  </w:style>
  <w:style w:type="character" w:customStyle="1" w:styleId="CommentTextChar">
    <w:name w:val="Comment Text Char"/>
    <w:basedOn w:val="DefaultParagraphFont"/>
    <w:link w:val="CommentText"/>
    <w:uiPriority w:val="99"/>
    <w:semiHidden/>
    <w:rsid w:val="00BC232D"/>
    <w:rPr>
      <w:sz w:val="20"/>
      <w:szCs w:val="20"/>
    </w:rPr>
  </w:style>
  <w:style w:type="paragraph" w:styleId="CommentSubject">
    <w:name w:val="annotation subject"/>
    <w:basedOn w:val="CommentText"/>
    <w:next w:val="CommentText"/>
    <w:link w:val="CommentSubjectChar"/>
    <w:uiPriority w:val="99"/>
    <w:semiHidden/>
    <w:unhideWhenUsed/>
    <w:rsid w:val="00BC232D"/>
    <w:rPr>
      <w:b/>
      <w:bCs/>
    </w:rPr>
  </w:style>
  <w:style w:type="character" w:customStyle="1" w:styleId="CommentSubjectChar">
    <w:name w:val="Comment Subject Char"/>
    <w:basedOn w:val="CommentTextChar"/>
    <w:link w:val="CommentSubject"/>
    <w:uiPriority w:val="99"/>
    <w:semiHidden/>
    <w:rsid w:val="00BC232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Regulations-and-Guidance/Legislation/EHRIncentivePrograms/Downloads/Stage1vsStage2CompTablesforE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tnet.org/Practice/ONC.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althPolicy@entnet.org" TargetMode="External"/><Relationship Id="rId4" Type="http://schemas.openxmlformats.org/officeDocument/2006/relationships/webSettings" Target="webSettings.xml"/><Relationship Id="rId9" Type="http://schemas.openxmlformats.org/officeDocument/2006/relationships/hyperlink" Target="http://www.entnet.org/Practice/upload/Stage-2-Core-and-Menu-Objectives.docx"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AAOHNS</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jcody</dc:creator>
  <cp:lastModifiedBy>jcody</cp:lastModifiedBy>
  <cp:revision>3</cp:revision>
  <dcterms:created xsi:type="dcterms:W3CDTF">2012-10-01T16:29:00Z</dcterms:created>
  <dcterms:modified xsi:type="dcterms:W3CDTF">2012-10-04T18:49:00Z</dcterms:modified>
</cp:coreProperties>
</file>