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87" w:rsidRPr="00106434" w:rsidRDefault="00F24887" w:rsidP="00F24887">
      <w:pPr>
        <w:rPr>
          <w:rFonts w:asciiTheme="minorHAnsi" w:hAnsiTheme="minorHAnsi" w:cs="Arial"/>
        </w:rPr>
      </w:pPr>
      <w:r w:rsidRPr="00106434">
        <w:rPr>
          <w:rFonts w:asciiTheme="minorHAnsi" w:hAnsiTheme="minorHAnsi" w:cs="Arial"/>
        </w:rPr>
        <w:t xml:space="preserve">March </w:t>
      </w:r>
      <w:r>
        <w:rPr>
          <w:rFonts w:asciiTheme="minorHAnsi" w:hAnsiTheme="minorHAnsi" w:cs="Arial"/>
        </w:rPr>
        <w:t>10</w:t>
      </w:r>
      <w:r w:rsidRPr="00106434">
        <w:rPr>
          <w:rFonts w:asciiTheme="minorHAnsi" w:hAnsiTheme="minorHAnsi" w:cs="Arial"/>
        </w:rPr>
        <w:t>, 2010</w:t>
      </w:r>
    </w:p>
    <w:p w:rsidR="00F24887" w:rsidRPr="00106434" w:rsidRDefault="00F24887" w:rsidP="00F24887">
      <w:pPr>
        <w:rPr>
          <w:rFonts w:asciiTheme="minorHAnsi" w:hAnsiTheme="minorHAnsi" w:cs="Arial"/>
        </w:rPr>
      </w:pPr>
    </w:p>
    <w:p w:rsidR="00F24887" w:rsidRPr="00106434" w:rsidRDefault="00F24887" w:rsidP="00F24887">
      <w:pPr>
        <w:rPr>
          <w:rFonts w:asciiTheme="minorHAnsi" w:hAnsiTheme="minorHAnsi" w:cs="Arial"/>
        </w:rPr>
      </w:pPr>
      <w:r w:rsidRPr="00106434">
        <w:rPr>
          <w:rFonts w:asciiTheme="minorHAnsi" w:hAnsiTheme="minorHAnsi" w:cs="Arial"/>
        </w:rPr>
        <w:t xml:space="preserve">Charlene M. </w:t>
      </w:r>
      <w:proofErr w:type="spellStart"/>
      <w:r w:rsidRPr="00106434">
        <w:rPr>
          <w:rFonts w:asciiTheme="minorHAnsi" w:hAnsiTheme="minorHAnsi" w:cs="Arial"/>
        </w:rPr>
        <w:t>Frizzera</w:t>
      </w:r>
      <w:proofErr w:type="spellEnd"/>
    </w:p>
    <w:p w:rsidR="00F24887" w:rsidRPr="00106434" w:rsidRDefault="00F24887" w:rsidP="00F24887">
      <w:pPr>
        <w:rPr>
          <w:rFonts w:asciiTheme="minorHAnsi" w:hAnsiTheme="minorHAnsi" w:cs="Arial"/>
        </w:rPr>
      </w:pPr>
      <w:r w:rsidRPr="00106434">
        <w:rPr>
          <w:rFonts w:asciiTheme="minorHAnsi" w:hAnsiTheme="minorHAnsi" w:cs="Arial"/>
        </w:rPr>
        <w:t>Acting Administrator</w:t>
      </w:r>
    </w:p>
    <w:p w:rsidR="00F24887" w:rsidRPr="00106434" w:rsidRDefault="00F24887" w:rsidP="00F24887">
      <w:pPr>
        <w:rPr>
          <w:rFonts w:asciiTheme="minorHAnsi" w:hAnsiTheme="minorHAnsi" w:cs="Arial"/>
        </w:rPr>
      </w:pPr>
      <w:r w:rsidRPr="00106434">
        <w:rPr>
          <w:rFonts w:asciiTheme="minorHAnsi" w:hAnsiTheme="minorHAnsi" w:cs="Arial"/>
        </w:rPr>
        <w:t>Centers for Medicare &amp; Medicaid Services</w:t>
      </w:r>
    </w:p>
    <w:p w:rsidR="00F24887" w:rsidRPr="00106434" w:rsidRDefault="00F24887" w:rsidP="00F24887">
      <w:pPr>
        <w:rPr>
          <w:rFonts w:asciiTheme="minorHAnsi" w:hAnsiTheme="minorHAnsi" w:cs="Arial"/>
        </w:rPr>
      </w:pPr>
      <w:r w:rsidRPr="00106434">
        <w:rPr>
          <w:rFonts w:asciiTheme="minorHAnsi" w:hAnsiTheme="minorHAnsi" w:cs="Arial"/>
        </w:rPr>
        <w:t>Department of Health and Human Services</w:t>
      </w:r>
    </w:p>
    <w:p w:rsidR="00F24887" w:rsidRPr="00106434" w:rsidRDefault="00F24887" w:rsidP="00F24887">
      <w:pPr>
        <w:rPr>
          <w:rFonts w:asciiTheme="minorHAnsi" w:hAnsiTheme="minorHAnsi" w:cs="Arial"/>
        </w:rPr>
      </w:pPr>
      <w:r w:rsidRPr="00106434">
        <w:rPr>
          <w:rFonts w:asciiTheme="minorHAnsi" w:hAnsiTheme="minorHAnsi" w:cs="Arial"/>
        </w:rPr>
        <w:t>Attention: CMS–1413–P</w:t>
      </w:r>
    </w:p>
    <w:p w:rsidR="00F24887" w:rsidRPr="00106434" w:rsidRDefault="00F24887" w:rsidP="00F24887">
      <w:pPr>
        <w:rPr>
          <w:rFonts w:asciiTheme="minorHAnsi" w:hAnsiTheme="minorHAnsi" w:cs="Arial"/>
        </w:rPr>
      </w:pPr>
      <w:r w:rsidRPr="00106434">
        <w:rPr>
          <w:rFonts w:asciiTheme="minorHAnsi" w:hAnsiTheme="minorHAnsi" w:cs="Arial"/>
        </w:rPr>
        <w:t>Room 445–G, Hubert H. Humphrey Building</w:t>
      </w:r>
    </w:p>
    <w:p w:rsidR="00F24887" w:rsidRPr="00106434" w:rsidRDefault="00F24887" w:rsidP="00F24887">
      <w:pPr>
        <w:rPr>
          <w:rFonts w:asciiTheme="minorHAnsi" w:hAnsiTheme="minorHAnsi" w:cs="Arial"/>
        </w:rPr>
      </w:pPr>
      <w:r w:rsidRPr="00106434">
        <w:rPr>
          <w:rFonts w:asciiTheme="minorHAnsi" w:hAnsiTheme="minorHAnsi" w:cs="Arial"/>
        </w:rPr>
        <w:t>200 Independence Avenue, SW</w:t>
      </w:r>
    </w:p>
    <w:p w:rsidR="00F24887" w:rsidRPr="00106434" w:rsidRDefault="00F24887" w:rsidP="00F24887">
      <w:pPr>
        <w:rPr>
          <w:rFonts w:asciiTheme="minorHAnsi" w:hAnsiTheme="minorHAnsi" w:cs="Arial"/>
        </w:rPr>
      </w:pPr>
      <w:r w:rsidRPr="00106434">
        <w:rPr>
          <w:rFonts w:asciiTheme="minorHAnsi" w:hAnsiTheme="minorHAnsi" w:cs="Arial"/>
        </w:rPr>
        <w:t>Washington, DC 20201</w:t>
      </w:r>
    </w:p>
    <w:p w:rsidR="00F24887" w:rsidRPr="00106434" w:rsidRDefault="00F24887" w:rsidP="00F24887">
      <w:pPr>
        <w:rPr>
          <w:rFonts w:asciiTheme="minorHAnsi" w:hAnsiTheme="minorHAnsi" w:cs="Arial"/>
        </w:rPr>
      </w:pPr>
    </w:p>
    <w:p w:rsidR="00F24887" w:rsidRPr="00106434" w:rsidRDefault="00F24887" w:rsidP="00F24887">
      <w:pPr>
        <w:ind w:left="720" w:hanging="720"/>
        <w:rPr>
          <w:rFonts w:asciiTheme="minorHAnsi" w:hAnsiTheme="minorHAnsi" w:cs="Arial"/>
          <w:b/>
        </w:rPr>
      </w:pPr>
      <w:r w:rsidRPr="00106434">
        <w:rPr>
          <w:rFonts w:asciiTheme="minorHAnsi" w:hAnsiTheme="minorHAnsi" w:cs="Arial"/>
          <w:b/>
          <w:bCs/>
        </w:rPr>
        <w:t>Re:</w:t>
      </w:r>
      <w:r w:rsidRPr="00106434">
        <w:rPr>
          <w:rFonts w:asciiTheme="minorHAnsi" w:hAnsiTheme="minorHAnsi" w:cs="Arial"/>
          <w:b/>
          <w:bCs/>
        </w:rPr>
        <w:tab/>
      </w:r>
      <w:r w:rsidRPr="00106434">
        <w:rPr>
          <w:rFonts w:asciiTheme="minorHAnsi" w:hAnsiTheme="minorHAnsi" w:cs="Arial"/>
          <w:b/>
        </w:rPr>
        <w:t>Medicare and Medicaid Programs; Electronic Health Record Incentive Program; RIN 0938-AP78</w:t>
      </w:r>
    </w:p>
    <w:p w:rsidR="00F24887" w:rsidRPr="00106434" w:rsidRDefault="00F24887" w:rsidP="00F24887">
      <w:pPr>
        <w:rPr>
          <w:rFonts w:asciiTheme="minorHAnsi" w:hAnsiTheme="minorHAnsi" w:cs="Arial"/>
        </w:rPr>
      </w:pPr>
    </w:p>
    <w:p w:rsidR="00F24887" w:rsidRPr="00106434" w:rsidRDefault="00F24887" w:rsidP="00F24887">
      <w:pPr>
        <w:rPr>
          <w:rFonts w:asciiTheme="minorHAnsi" w:hAnsiTheme="minorHAnsi" w:cs="Arial"/>
        </w:rPr>
      </w:pPr>
      <w:r w:rsidRPr="00106434">
        <w:rPr>
          <w:rFonts w:asciiTheme="minorHAnsi" w:hAnsiTheme="minorHAnsi" w:cs="Arial"/>
        </w:rPr>
        <w:t xml:space="preserve">Dear Ms. </w:t>
      </w:r>
      <w:proofErr w:type="spellStart"/>
      <w:r w:rsidRPr="00106434">
        <w:rPr>
          <w:rFonts w:asciiTheme="minorHAnsi" w:hAnsiTheme="minorHAnsi" w:cs="Arial"/>
        </w:rPr>
        <w:t>Frizzera</w:t>
      </w:r>
      <w:proofErr w:type="spellEnd"/>
      <w:r w:rsidRPr="00106434">
        <w:rPr>
          <w:rFonts w:asciiTheme="minorHAnsi" w:hAnsiTheme="minorHAnsi" w:cs="Arial"/>
        </w:rPr>
        <w:t>:</w:t>
      </w:r>
    </w:p>
    <w:p w:rsidR="00F24887" w:rsidRPr="00106434" w:rsidRDefault="00F24887" w:rsidP="00F24887">
      <w:pPr>
        <w:rPr>
          <w:rFonts w:asciiTheme="minorHAnsi" w:hAnsiTheme="minorHAnsi" w:cs="Arial"/>
        </w:rPr>
      </w:pPr>
    </w:p>
    <w:p w:rsidR="00F24887" w:rsidRDefault="00F24887" w:rsidP="00F24887">
      <w:pPr>
        <w:jc w:val="both"/>
        <w:rPr>
          <w:sz w:val="20"/>
        </w:rPr>
      </w:pPr>
      <w:r w:rsidRPr="00D47155">
        <w:rPr>
          <w:rFonts w:asciiTheme="minorHAnsi" w:hAnsiTheme="minorHAnsi" w:cs="Arial"/>
        </w:rPr>
        <w:t>On behalf of the American Academy of Otolaryngology—Head and Neck Surgery (AAO-HNS), I am pleased to submit the following comments on the “Medicare and Medicaid Programs; Electronic Health Record Incentive Program” published in the Federal Register as a proposed notice on December 30, 2009. Our comments will begin with general observations</w:t>
      </w:r>
      <w:r w:rsidR="004321C7">
        <w:rPr>
          <w:rFonts w:asciiTheme="minorHAnsi" w:hAnsiTheme="minorHAnsi" w:cs="Arial"/>
        </w:rPr>
        <w:t>,</w:t>
      </w:r>
      <w:r w:rsidRPr="00D47155">
        <w:rPr>
          <w:rFonts w:asciiTheme="minorHAnsi" w:hAnsiTheme="minorHAnsi" w:cs="Arial"/>
        </w:rPr>
        <w:t xml:space="preserve"> and then we will address specific meaningful use criteria,</w:t>
      </w:r>
      <w:r>
        <w:rPr>
          <w:rFonts w:asciiTheme="minorHAnsi" w:hAnsiTheme="minorHAnsi" w:cs="Arial"/>
        </w:rPr>
        <w:t xml:space="preserve"> </w:t>
      </w:r>
      <w:r w:rsidR="004321C7">
        <w:rPr>
          <w:rFonts w:asciiTheme="minorHAnsi" w:hAnsiTheme="minorHAnsi" w:cs="Arial"/>
        </w:rPr>
        <w:t>followed by remarks on</w:t>
      </w:r>
      <w:r>
        <w:rPr>
          <w:rFonts w:asciiTheme="minorHAnsi" w:hAnsiTheme="minorHAnsi" w:cs="Arial"/>
        </w:rPr>
        <w:t xml:space="preserve"> the</w:t>
      </w:r>
      <w:r w:rsidRPr="00D47155">
        <w:rPr>
          <w:rFonts w:asciiTheme="minorHAnsi" w:hAnsiTheme="minorHAnsi" w:cs="Arial"/>
        </w:rPr>
        <w:t xml:space="preserve"> clinical quality measures.  </w:t>
      </w:r>
    </w:p>
    <w:p w:rsidR="00F24887" w:rsidRPr="00106434" w:rsidRDefault="00F24887" w:rsidP="00F24887">
      <w:pPr>
        <w:jc w:val="both"/>
        <w:rPr>
          <w:rFonts w:asciiTheme="minorHAnsi" w:hAnsiTheme="minorHAnsi" w:cs="Arial"/>
        </w:rPr>
      </w:pPr>
    </w:p>
    <w:p w:rsidR="00F24887" w:rsidRDefault="00F24887" w:rsidP="00F24887">
      <w:pPr>
        <w:jc w:val="both"/>
        <w:rPr>
          <w:rFonts w:asciiTheme="minorHAnsi" w:hAnsiTheme="minorHAnsi"/>
        </w:rPr>
      </w:pPr>
      <w:r>
        <w:rPr>
          <w:rFonts w:asciiTheme="minorHAnsi" w:hAnsiTheme="minorHAnsi" w:cs="Arial"/>
        </w:rPr>
        <w:t xml:space="preserve">We applaud CMS’s efforts in crafting this proposed rule for meaningful use. We are highly supportive of the adoption of EHRs and are aware of the benefits of implementing these systems to the delivery of high quality healthcare. </w:t>
      </w:r>
      <w:r w:rsidRPr="000948E0">
        <w:rPr>
          <w:rFonts w:asciiTheme="minorHAnsi" w:hAnsiTheme="minorHAnsi" w:cs="Arial"/>
          <w:b/>
        </w:rPr>
        <w:t>However, we agree with the American Medical Association’s (AMA) assertion that the stage 1 meaningful use criteria are too aggressive and may dissuade physicians</w:t>
      </w:r>
      <w:r w:rsidR="004321C7">
        <w:rPr>
          <w:rFonts w:asciiTheme="minorHAnsi" w:hAnsiTheme="minorHAnsi" w:cs="Arial"/>
          <w:b/>
        </w:rPr>
        <w:t>,</w:t>
      </w:r>
      <w:r w:rsidRPr="000948E0">
        <w:rPr>
          <w:rFonts w:asciiTheme="minorHAnsi" w:hAnsiTheme="minorHAnsi" w:cs="Arial"/>
          <w:b/>
        </w:rPr>
        <w:t xml:space="preserve"> especially those in small practices</w:t>
      </w:r>
      <w:r w:rsidR="004321C7">
        <w:rPr>
          <w:rFonts w:asciiTheme="minorHAnsi" w:hAnsiTheme="minorHAnsi" w:cs="Arial"/>
          <w:b/>
        </w:rPr>
        <w:t>,</w:t>
      </w:r>
      <w:r w:rsidRPr="000948E0">
        <w:rPr>
          <w:rFonts w:asciiTheme="minorHAnsi" w:hAnsiTheme="minorHAnsi" w:cs="Arial"/>
          <w:b/>
        </w:rPr>
        <w:t xml:space="preserve"> from adopting EHRs.</w:t>
      </w:r>
      <w:r w:rsidRPr="00106434">
        <w:rPr>
          <w:rFonts w:asciiTheme="minorHAnsi" w:hAnsiTheme="minorHAnsi" w:cs="Arial"/>
        </w:rPr>
        <w:t xml:space="preserve"> </w:t>
      </w:r>
      <w:r w:rsidR="00FA4B03">
        <w:rPr>
          <w:rFonts w:asciiTheme="minorHAnsi" w:hAnsiTheme="minorHAnsi" w:cs="Arial"/>
          <w:u w:val="single"/>
        </w:rPr>
        <w:t>W</w:t>
      </w:r>
      <w:r w:rsidR="00FA4B03" w:rsidRPr="002F0A32">
        <w:rPr>
          <w:rFonts w:asciiTheme="minorHAnsi" w:hAnsiTheme="minorHAnsi" w:cs="Arial"/>
          <w:u w:val="single"/>
        </w:rPr>
        <w:t xml:space="preserve">e </w:t>
      </w:r>
      <w:r w:rsidRPr="002F0A32">
        <w:rPr>
          <w:rFonts w:asciiTheme="minorHAnsi" w:hAnsiTheme="minorHAnsi" w:cs="Arial"/>
          <w:u w:val="single"/>
        </w:rPr>
        <w:t xml:space="preserve">suggest that similar to the Medicaid EHR incentive program, the Medicare EHR incentive program </w:t>
      </w:r>
      <w:r w:rsidR="004321C7">
        <w:rPr>
          <w:rFonts w:asciiTheme="minorHAnsi" w:hAnsiTheme="minorHAnsi" w:cs="Arial"/>
          <w:u w:val="single"/>
        </w:rPr>
        <w:t xml:space="preserve">should </w:t>
      </w:r>
      <w:r w:rsidRPr="002F0A32">
        <w:rPr>
          <w:rFonts w:asciiTheme="minorHAnsi" w:hAnsiTheme="minorHAnsi" w:cs="Arial"/>
          <w:u w:val="single"/>
        </w:rPr>
        <w:t>allow incentive payments to Eligible Professionals (EPs) during the first year for adopting, installing</w:t>
      </w:r>
      <w:r w:rsidR="004321C7">
        <w:rPr>
          <w:rFonts w:asciiTheme="minorHAnsi" w:hAnsiTheme="minorHAnsi" w:cs="Arial"/>
          <w:u w:val="single"/>
        </w:rPr>
        <w:t>,</w:t>
      </w:r>
      <w:r w:rsidRPr="002F0A32">
        <w:rPr>
          <w:rFonts w:asciiTheme="minorHAnsi" w:hAnsiTheme="minorHAnsi" w:cs="Arial"/>
          <w:u w:val="single"/>
        </w:rPr>
        <w:t xml:space="preserve"> or implementing a certified EHR.</w:t>
      </w:r>
      <w:r>
        <w:rPr>
          <w:rFonts w:asciiTheme="minorHAnsi" w:hAnsiTheme="minorHAnsi" w:cs="Arial"/>
        </w:rPr>
        <w:t xml:space="preserve"> After the</w:t>
      </w:r>
      <w:r w:rsidRPr="00106434">
        <w:rPr>
          <w:rFonts w:asciiTheme="minorHAnsi" w:hAnsiTheme="minorHAnsi" w:cs="Arial"/>
        </w:rPr>
        <w:t xml:space="preserve"> first year</w:t>
      </w:r>
      <w:r>
        <w:rPr>
          <w:rFonts w:asciiTheme="minorHAnsi" w:hAnsiTheme="minorHAnsi" w:cs="Arial"/>
        </w:rPr>
        <w:t xml:space="preserve"> after EPs have trained their staff and become more </w:t>
      </w:r>
      <w:r w:rsidR="00FA4B03">
        <w:rPr>
          <w:rFonts w:asciiTheme="minorHAnsi" w:hAnsiTheme="minorHAnsi" w:cs="Arial"/>
        </w:rPr>
        <w:t xml:space="preserve">accustomed to utilizing </w:t>
      </w:r>
      <w:r>
        <w:rPr>
          <w:rFonts w:asciiTheme="minorHAnsi" w:hAnsiTheme="minorHAnsi" w:cs="Arial"/>
        </w:rPr>
        <w:t xml:space="preserve">their EHRs, CMS should then require compliance to certain aspects of the </w:t>
      </w:r>
      <w:r w:rsidRPr="00106434">
        <w:rPr>
          <w:rFonts w:asciiTheme="minorHAnsi" w:hAnsiTheme="minorHAnsi" w:cs="Arial"/>
        </w:rPr>
        <w:t xml:space="preserve">stage 1 criteria. </w:t>
      </w:r>
      <w:r>
        <w:rPr>
          <w:rFonts w:asciiTheme="minorHAnsi" w:hAnsiTheme="minorHAnsi"/>
        </w:rPr>
        <w:t>We believe that in order to achieve</w:t>
      </w:r>
      <w:r w:rsidRPr="00106434">
        <w:rPr>
          <w:rFonts w:asciiTheme="minorHAnsi" w:hAnsiTheme="minorHAnsi"/>
        </w:rPr>
        <w:t xml:space="preserve"> widespread adoption of </w:t>
      </w:r>
      <w:r>
        <w:rPr>
          <w:rFonts w:asciiTheme="minorHAnsi" w:hAnsiTheme="minorHAnsi"/>
        </w:rPr>
        <w:t>EHRs, physicians</w:t>
      </w:r>
      <w:r w:rsidRPr="00106434">
        <w:rPr>
          <w:rFonts w:asciiTheme="minorHAnsi" w:hAnsiTheme="minorHAnsi"/>
        </w:rPr>
        <w:t xml:space="preserve"> </w:t>
      </w:r>
      <w:r w:rsidR="00FA4B03">
        <w:rPr>
          <w:rFonts w:asciiTheme="minorHAnsi" w:hAnsiTheme="minorHAnsi"/>
        </w:rPr>
        <w:t xml:space="preserve">must </w:t>
      </w:r>
      <w:r w:rsidRPr="00106434">
        <w:rPr>
          <w:rFonts w:asciiTheme="minorHAnsi" w:hAnsiTheme="minorHAnsi"/>
        </w:rPr>
        <w:t>be comfortable w</w:t>
      </w:r>
      <w:r>
        <w:rPr>
          <w:rFonts w:asciiTheme="minorHAnsi" w:hAnsiTheme="minorHAnsi"/>
        </w:rPr>
        <w:t>ith the interface; therefore, s</w:t>
      </w:r>
      <w:r w:rsidRPr="00106434">
        <w:rPr>
          <w:rFonts w:asciiTheme="minorHAnsi" w:hAnsiTheme="minorHAnsi"/>
        </w:rPr>
        <w:t xml:space="preserve">ystems </w:t>
      </w:r>
      <w:r>
        <w:rPr>
          <w:rFonts w:asciiTheme="minorHAnsi" w:hAnsiTheme="minorHAnsi"/>
        </w:rPr>
        <w:t xml:space="preserve">should </w:t>
      </w:r>
      <w:r w:rsidRPr="00106434">
        <w:rPr>
          <w:rFonts w:asciiTheme="minorHAnsi" w:hAnsiTheme="minorHAnsi"/>
        </w:rPr>
        <w:t>aid t</w:t>
      </w:r>
      <w:r>
        <w:rPr>
          <w:rFonts w:asciiTheme="minorHAnsi" w:hAnsiTheme="minorHAnsi"/>
        </w:rPr>
        <w:t>heir</w:t>
      </w:r>
      <w:r w:rsidRPr="00106434">
        <w:rPr>
          <w:rFonts w:asciiTheme="minorHAnsi" w:hAnsiTheme="minorHAnsi"/>
        </w:rPr>
        <w:t xml:space="preserve"> </w:t>
      </w:r>
      <w:r>
        <w:rPr>
          <w:rFonts w:asciiTheme="minorHAnsi" w:hAnsiTheme="minorHAnsi"/>
        </w:rPr>
        <w:t>clinical workflow rather than</w:t>
      </w:r>
      <w:r w:rsidRPr="00106434">
        <w:rPr>
          <w:rFonts w:asciiTheme="minorHAnsi" w:hAnsiTheme="minorHAnsi"/>
        </w:rPr>
        <w:t xml:space="preserve"> </w:t>
      </w:r>
      <w:r>
        <w:rPr>
          <w:rFonts w:asciiTheme="minorHAnsi" w:hAnsiTheme="minorHAnsi"/>
        </w:rPr>
        <w:t>impede it</w:t>
      </w:r>
      <w:r w:rsidR="004321C7">
        <w:rPr>
          <w:rFonts w:asciiTheme="minorHAnsi" w:hAnsiTheme="minorHAnsi"/>
        </w:rPr>
        <w:t>,</w:t>
      </w:r>
      <w:r>
        <w:rPr>
          <w:rFonts w:asciiTheme="minorHAnsi" w:hAnsiTheme="minorHAnsi"/>
        </w:rPr>
        <w:t xml:space="preserve"> and the adoption of EHR systems should be a gradual process</w:t>
      </w:r>
      <w:r w:rsidRPr="00106434">
        <w:rPr>
          <w:rFonts w:asciiTheme="minorHAnsi" w:hAnsiTheme="minorHAnsi"/>
        </w:rPr>
        <w:t xml:space="preserve">.  </w:t>
      </w:r>
    </w:p>
    <w:p w:rsidR="00F24887" w:rsidRDefault="00F24887" w:rsidP="00F24887">
      <w:pPr>
        <w:jc w:val="both"/>
        <w:rPr>
          <w:rFonts w:asciiTheme="minorHAnsi" w:hAnsiTheme="minorHAnsi" w:cs="Arial"/>
        </w:rPr>
      </w:pPr>
    </w:p>
    <w:p w:rsidR="00F24887" w:rsidRDefault="00F24887" w:rsidP="00F24887">
      <w:pPr>
        <w:jc w:val="both"/>
        <w:rPr>
          <w:rFonts w:asciiTheme="minorHAnsi" w:hAnsiTheme="minorHAnsi" w:cs="Arial"/>
        </w:rPr>
      </w:pPr>
      <w:r>
        <w:rPr>
          <w:rFonts w:asciiTheme="minorHAnsi" w:hAnsiTheme="minorHAnsi" w:cs="Arial"/>
        </w:rPr>
        <w:lastRenderedPageBreak/>
        <w:t>Because</w:t>
      </w:r>
      <w:r w:rsidRPr="00106434">
        <w:rPr>
          <w:rFonts w:asciiTheme="minorHAnsi" w:hAnsiTheme="minorHAnsi" w:cs="Arial"/>
        </w:rPr>
        <w:t xml:space="preserve"> most of our members fall under the category of owning small practices</w:t>
      </w:r>
      <w:r>
        <w:rPr>
          <w:rFonts w:asciiTheme="minorHAnsi" w:hAnsiTheme="minorHAnsi" w:cs="Arial"/>
        </w:rPr>
        <w:t xml:space="preserve"> (an average of 3 physicians </w:t>
      </w:r>
      <w:r w:rsidR="00FA4B03">
        <w:rPr>
          <w:rFonts w:asciiTheme="minorHAnsi" w:hAnsiTheme="minorHAnsi" w:cs="Arial"/>
        </w:rPr>
        <w:t xml:space="preserve">or less </w:t>
      </w:r>
      <w:r>
        <w:rPr>
          <w:rFonts w:asciiTheme="minorHAnsi" w:hAnsiTheme="minorHAnsi" w:cs="Arial"/>
        </w:rPr>
        <w:t>per practice)</w:t>
      </w:r>
      <w:r w:rsidRPr="00106434">
        <w:rPr>
          <w:rFonts w:asciiTheme="minorHAnsi" w:hAnsiTheme="minorHAnsi" w:cs="Arial"/>
        </w:rPr>
        <w:t xml:space="preserve">, we strongly agree with the AMA’s recommendation that such </w:t>
      </w:r>
      <w:r>
        <w:rPr>
          <w:rFonts w:asciiTheme="minorHAnsi" w:hAnsiTheme="minorHAnsi" w:cs="Arial"/>
        </w:rPr>
        <w:t>specialists</w:t>
      </w:r>
      <w:r w:rsidRPr="00106434">
        <w:rPr>
          <w:rFonts w:asciiTheme="minorHAnsi" w:hAnsiTheme="minorHAnsi" w:cs="Arial"/>
        </w:rPr>
        <w:t xml:space="preserve"> be represented on the HIT Policy and Standards committees to provide realistic and accurate feedback ab</w:t>
      </w:r>
      <w:r>
        <w:rPr>
          <w:rFonts w:asciiTheme="minorHAnsi" w:hAnsiTheme="minorHAnsi" w:cs="Arial"/>
        </w:rPr>
        <w:t xml:space="preserve">out their implementation of </w:t>
      </w:r>
      <w:r w:rsidRPr="00106434">
        <w:rPr>
          <w:rFonts w:asciiTheme="minorHAnsi" w:hAnsiTheme="minorHAnsi" w:cs="Arial"/>
        </w:rPr>
        <w:t>EHR</w:t>
      </w:r>
      <w:r>
        <w:rPr>
          <w:rFonts w:asciiTheme="minorHAnsi" w:hAnsiTheme="minorHAnsi" w:cs="Arial"/>
        </w:rPr>
        <w:t>s</w:t>
      </w:r>
      <w:r w:rsidRPr="00106434">
        <w:rPr>
          <w:rFonts w:asciiTheme="minorHAnsi" w:hAnsiTheme="minorHAnsi" w:cs="Arial"/>
        </w:rPr>
        <w:t xml:space="preserve"> and </w:t>
      </w:r>
      <w:r>
        <w:rPr>
          <w:rFonts w:asciiTheme="minorHAnsi" w:hAnsiTheme="minorHAnsi" w:cs="Arial"/>
        </w:rPr>
        <w:t xml:space="preserve">their </w:t>
      </w:r>
      <w:r w:rsidRPr="00106434">
        <w:rPr>
          <w:rFonts w:asciiTheme="minorHAnsi" w:hAnsiTheme="minorHAnsi" w:cs="Arial"/>
        </w:rPr>
        <w:t>abilities to use these systems meaningfully.</w:t>
      </w:r>
      <w:r>
        <w:rPr>
          <w:rFonts w:asciiTheme="minorHAnsi" w:hAnsiTheme="minorHAnsi" w:cs="Arial"/>
        </w:rPr>
        <w:t xml:space="preserve"> The realistic feedback that such physicians provide would be very relevant and helpful to CMS as it proposes later stages of meaningful use in subsequent rule making.</w:t>
      </w:r>
    </w:p>
    <w:p w:rsidR="00F24887" w:rsidRDefault="00F24887" w:rsidP="00F24887">
      <w:pPr>
        <w:rPr>
          <w:rFonts w:asciiTheme="minorHAnsi" w:hAnsiTheme="minorHAnsi"/>
        </w:rPr>
      </w:pPr>
    </w:p>
    <w:p w:rsidR="00F24887" w:rsidRPr="00D47155" w:rsidRDefault="00FA4B03" w:rsidP="00F24887">
      <w:pPr>
        <w:jc w:val="both"/>
        <w:rPr>
          <w:rFonts w:asciiTheme="minorHAnsi" w:hAnsiTheme="minorHAnsi"/>
        </w:rPr>
      </w:pPr>
      <w:r>
        <w:rPr>
          <w:rFonts w:asciiTheme="minorHAnsi" w:hAnsiTheme="minorHAnsi"/>
        </w:rPr>
        <w:t>In addition, w</w:t>
      </w:r>
      <w:r w:rsidRPr="00D47155">
        <w:rPr>
          <w:rFonts w:asciiTheme="minorHAnsi" w:hAnsiTheme="minorHAnsi"/>
        </w:rPr>
        <w:t>e</w:t>
      </w:r>
      <w:r>
        <w:rPr>
          <w:rFonts w:asciiTheme="minorHAnsi" w:hAnsiTheme="minorHAnsi"/>
        </w:rPr>
        <w:t xml:space="preserve"> </w:t>
      </w:r>
      <w:r w:rsidR="00F24887">
        <w:rPr>
          <w:rFonts w:asciiTheme="minorHAnsi" w:hAnsiTheme="minorHAnsi"/>
        </w:rPr>
        <w:t>propose</w:t>
      </w:r>
      <w:r w:rsidR="00F24887" w:rsidRPr="00D47155">
        <w:rPr>
          <w:rFonts w:asciiTheme="minorHAnsi" w:hAnsiTheme="minorHAnsi"/>
        </w:rPr>
        <w:t xml:space="preserve"> that CMS </w:t>
      </w:r>
      <w:r w:rsidR="00F24887">
        <w:rPr>
          <w:rFonts w:asciiTheme="minorHAnsi" w:hAnsiTheme="minorHAnsi"/>
        </w:rPr>
        <w:t xml:space="preserve">adopt a system to </w:t>
      </w:r>
      <w:r w:rsidR="00F24887" w:rsidRPr="00D47155">
        <w:rPr>
          <w:rFonts w:asciiTheme="minorHAnsi" w:hAnsiTheme="minorHAnsi"/>
        </w:rPr>
        <w:t xml:space="preserve">hold EHR vendors accountable if clinicians use certified </w:t>
      </w:r>
      <w:r w:rsidR="00F24887">
        <w:rPr>
          <w:rFonts w:asciiTheme="minorHAnsi" w:hAnsiTheme="minorHAnsi"/>
        </w:rPr>
        <w:t>EHRs</w:t>
      </w:r>
      <w:r w:rsidR="00F24887" w:rsidRPr="00D47155">
        <w:rPr>
          <w:rFonts w:asciiTheme="minorHAnsi" w:hAnsiTheme="minorHAnsi"/>
        </w:rPr>
        <w:t xml:space="preserve"> appropriately a</w:t>
      </w:r>
      <w:r w:rsidR="00F24887">
        <w:rPr>
          <w:rFonts w:asciiTheme="minorHAnsi" w:hAnsiTheme="minorHAnsi"/>
        </w:rPr>
        <w:t xml:space="preserve">nd still </w:t>
      </w:r>
      <w:r w:rsidR="00D94F8B">
        <w:rPr>
          <w:rFonts w:asciiTheme="minorHAnsi" w:hAnsiTheme="minorHAnsi"/>
        </w:rPr>
        <w:t xml:space="preserve">are unable </w:t>
      </w:r>
      <w:r w:rsidR="00F24887">
        <w:rPr>
          <w:rFonts w:asciiTheme="minorHAnsi" w:hAnsiTheme="minorHAnsi"/>
        </w:rPr>
        <w:t>to meet the meaningful use criteria</w:t>
      </w:r>
      <w:r w:rsidR="00D94F8B">
        <w:rPr>
          <w:rFonts w:asciiTheme="minorHAnsi" w:hAnsiTheme="minorHAnsi"/>
        </w:rPr>
        <w:t xml:space="preserve"> due to limitations of the EHR or vendor</w:t>
      </w:r>
      <w:r w:rsidR="00F24887">
        <w:rPr>
          <w:rFonts w:asciiTheme="minorHAnsi" w:hAnsiTheme="minorHAnsi"/>
        </w:rPr>
        <w:t xml:space="preserve">. This can be done by </w:t>
      </w:r>
      <w:r w:rsidR="00F24887" w:rsidRPr="00D47155">
        <w:rPr>
          <w:rFonts w:asciiTheme="minorHAnsi" w:hAnsiTheme="minorHAnsi"/>
        </w:rPr>
        <w:t>stripping the vendors of their certification status</w:t>
      </w:r>
      <w:r w:rsidR="00F24887">
        <w:rPr>
          <w:rFonts w:asciiTheme="minorHAnsi" w:hAnsiTheme="minorHAnsi"/>
        </w:rPr>
        <w:t xml:space="preserve"> and/or incentivizing</w:t>
      </w:r>
      <w:r w:rsidR="00F24887" w:rsidRPr="00D47155">
        <w:rPr>
          <w:rFonts w:asciiTheme="minorHAnsi" w:hAnsiTheme="minorHAnsi"/>
        </w:rPr>
        <w:t xml:space="preserve"> the EHR vendors based on the number of </w:t>
      </w:r>
      <w:r>
        <w:rPr>
          <w:rFonts w:asciiTheme="minorHAnsi" w:hAnsiTheme="minorHAnsi"/>
        </w:rPr>
        <w:t xml:space="preserve">practices or </w:t>
      </w:r>
      <w:r w:rsidR="00F24887">
        <w:rPr>
          <w:rFonts w:asciiTheme="minorHAnsi" w:hAnsiTheme="minorHAnsi"/>
        </w:rPr>
        <w:t>EPs</w:t>
      </w:r>
      <w:r w:rsidR="00F24887" w:rsidRPr="00D47155">
        <w:rPr>
          <w:rFonts w:asciiTheme="minorHAnsi" w:hAnsiTheme="minorHAnsi"/>
        </w:rPr>
        <w:t xml:space="preserve"> that purchase their certified EHRs</w:t>
      </w:r>
      <w:r w:rsidR="00F24887">
        <w:rPr>
          <w:rFonts w:asciiTheme="minorHAnsi" w:hAnsiTheme="minorHAnsi"/>
        </w:rPr>
        <w:t>. By doing so, CMS</w:t>
      </w:r>
      <w:r w:rsidR="00F24887" w:rsidRPr="00D47155">
        <w:rPr>
          <w:rFonts w:asciiTheme="minorHAnsi" w:hAnsiTheme="minorHAnsi"/>
        </w:rPr>
        <w:t xml:space="preserve"> will encourage them to create systems that are user-friendly, inexpensive, and useful to providers in order </w:t>
      </w:r>
      <w:r w:rsidR="00F24887">
        <w:rPr>
          <w:rFonts w:asciiTheme="minorHAnsi" w:hAnsiTheme="minorHAnsi"/>
        </w:rPr>
        <w:t>to encourage</w:t>
      </w:r>
      <w:r w:rsidR="00F24887" w:rsidRPr="00D47155">
        <w:rPr>
          <w:rFonts w:asciiTheme="minorHAnsi" w:hAnsiTheme="minorHAnsi"/>
        </w:rPr>
        <w:t xml:space="preserve"> more widespread adoption.</w:t>
      </w:r>
    </w:p>
    <w:p w:rsidR="00F24887" w:rsidRDefault="00F24887" w:rsidP="00F24887">
      <w:pPr>
        <w:rPr>
          <w:sz w:val="20"/>
        </w:rPr>
      </w:pPr>
    </w:p>
    <w:p w:rsidR="00F24887" w:rsidRPr="004C3DAC" w:rsidRDefault="00F24887" w:rsidP="00F24887">
      <w:pPr>
        <w:rPr>
          <w:rFonts w:asciiTheme="minorHAnsi" w:hAnsiTheme="minorHAnsi"/>
          <w:b/>
        </w:rPr>
      </w:pPr>
      <w:r w:rsidRPr="004C3DAC">
        <w:rPr>
          <w:rFonts w:asciiTheme="minorHAnsi" w:hAnsiTheme="minorHAnsi"/>
          <w:b/>
        </w:rPr>
        <w:t xml:space="preserve">Meaningful </w:t>
      </w:r>
      <w:r>
        <w:rPr>
          <w:rFonts w:asciiTheme="minorHAnsi" w:hAnsiTheme="minorHAnsi"/>
          <w:b/>
        </w:rPr>
        <w:t xml:space="preserve">Use </w:t>
      </w:r>
      <w:r w:rsidRPr="004C3DAC">
        <w:rPr>
          <w:rFonts w:asciiTheme="minorHAnsi" w:hAnsiTheme="minorHAnsi"/>
          <w:b/>
        </w:rPr>
        <w:t>Criteria and Measures</w:t>
      </w:r>
    </w:p>
    <w:p w:rsidR="00F24887" w:rsidRPr="00106434" w:rsidRDefault="00F24887" w:rsidP="00F24887">
      <w:pPr>
        <w:rPr>
          <w:rFonts w:asciiTheme="minorHAnsi" w:hAnsiTheme="minorHAnsi"/>
        </w:rPr>
      </w:pPr>
    </w:p>
    <w:p w:rsidR="00F24887" w:rsidRPr="005F1116" w:rsidRDefault="00F24887" w:rsidP="00F24887">
      <w:pPr>
        <w:jc w:val="both"/>
        <w:rPr>
          <w:rFonts w:asciiTheme="minorHAnsi" w:hAnsiTheme="minorHAnsi"/>
          <w:i/>
          <w:color w:val="000000"/>
        </w:rPr>
      </w:pPr>
      <w:r w:rsidRPr="005F1116">
        <w:rPr>
          <w:rFonts w:asciiTheme="minorHAnsi" w:hAnsiTheme="minorHAnsi"/>
          <w:i/>
        </w:rPr>
        <w:t xml:space="preserve">Criterion: </w:t>
      </w:r>
      <w:r w:rsidRPr="005F1116">
        <w:rPr>
          <w:rFonts w:ascii="Calibri" w:hAnsi="Calibri"/>
          <w:i/>
          <w:color w:val="000000"/>
        </w:rPr>
        <w:t>Generate and transmit permissible prescriptions electronically.</w:t>
      </w:r>
    </w:p>
    <w:p w:rsidR="00F24887" w:rsidRPr="005F1116" w:rsidRDefault="00F24887" w:rsidP="00F24887">
      <w:pPr>
        <w:jc w:val="both"/>
        <w:rPr>
          <w:rFonts w:ascii="Calibri" w:hAnsi="Calibri"/>
          <w:i/>
          <w:color w:val="000000"/>
        </w:rPr>
      </w:pPr>
      <w:r w:rsidRPr="005F1116">
        <w:rPr>
          <w:rFonts w:asciiTheme="minorHAnsi" w:hAnsiTheme="minorHAnsi"/>
          <w:i/>
          <w:color w:val="000000"/>
        </w:rPr>
        <w:t xml:space="preserve">Measure: </w:t>
      </w:r>
      <w:r w:rsidRPr="005F1116">
        <w:rPr>
          <w:rFonts w:ascii="Calibri" w:hAnsi="Calibri"/>
          <w:i/>
          <w:color w:val="000000"/>
        </w:rPr>
        <w:t>At least 75 percent of all permissible prescriptions written by the EP are transmitted electronically using certified EHR technology.</w:t>
      </w:r>
    </w:p>
    <w:p w:rsidR="00F24887" w:rsidRPr="00CC3EBF" w:rsidRDefault="00F24887" w:rsidP="00F24887">
      <w:pPr>
        <w:jc w:val="both"/>
        <w:rPr>
          <w:rFonts w:asciiTheme="minorHAnsi" w:hAnsiTheme="minorHAnsi"/>
          <w:b/>
        </w:rPr>
      </w:pPr>
      <w:r w:rsidRPr="005F1116">
        <w:rPr>
          <w:rFonts w:asciiTheme="minorHAnsi" w:hAnsiTheme="minorHAnsi"/>
          <w:i/>
        </w:rPr>
        <w:t xml:space="preserve">Recommendation: </w:t>
      </w:r>
      <w:r>
        <w:rPr>
          <w:rFonts w:asciiTheme="minorHAnsi" w:hAnsiTheme="minorHAnsi"/>
        </w:rPr>
        <w:t>We support the use of e-prescribing, but we do not support the 75 percent threshold. We are skeptical that many physicians will be able to meet this level of e-prescribing. Because s</w:t>
      </w:r>
      <w:r w:rsidRPr="00106434">
        <w:rPr>
          <w:rFonts w:asciiTheme="minorHAnsi" w:hAnsiTheme="minorHAnsi"/>
        </w:rPr>
        <w:t xml:space="preserve">urgeons </w:t>
      </w:r>
      <w:r>
        <w:rPr>
          <w:rFonts w:asciiTheme="minorHAnsi" w:hAnsiTheme="minorHAnsi"/>
        </w:rPr>
        <w:t xml:space="preserve">typically </w:t>
      </w:r>
      <w:r w:rsidRPr="00106434">
        <w:rPr>
          <w:rFonts w:asciiTheme="minorHAnsi" w:hAnsiTheme="minorHAnsi"/>
        </w:rPr>
        <w:t>prescribe medication in diverse settings (</w:t>
      </w:r>
      <w:r w:rsidR="00FA4B03">
        <w:rPr>
          <w:rFonts w:asciiTheme="minorHAnsi" w:hAnsiTheme="minorHAnsi"/>
        </w:rPr>
        <w:t>e</w:t>
      </w:r>
      <w:r w:rsidR="00FA4B03" w:rsidRPr="00106434">
        <w:rPr>
          <w:rFonts w:asciiTheme="minorHAnsi" w:hAnsiTheme="minorHAnsi"/>
        </w:rPr>
        <w:t xml:space="preserve">mergency </w:t>
      </w:r>
      <w:r w:rsidRPr="00106434">
        <w:rPr>
          <w:rFonts w:asciiTheme="minorHAnsi" w:hAnsiTheme="minorHAnsi"/>
        </w:rPr>
        <w:t xml:space="preserve">room, surgical centers, hospital inpatient and outpatient, etc.), and </w:t>
      </w:r>
      <w:r>
        <w:rPr>
          <w:rFonts w:asciiTheme="minorHAnsi" w:hAnsiTheme="minorHAnsi"/>
        </w:rPr>
        <w:t xml:space="preserve">because </w:t>
      </w:r>
      <w:r w:rsidRPr="00106434">
        <w:rPr>
          <w:rFonts w:asciiTheme="minorHAnsi" w:hAnsiTheme="minorHAnsi"/>
        </w:rPr>
        <w:t>a universal</w:t>
      </w:r>
      <w:r w:rsidR="00FA4B03">
        <w:rPr>
          <w:rFonts w:asciiTheme="minorHAnsi" w:hAnsiTheme="minorHAnsi"/>
        </w:rPr>
        <w:t>ly</w:t>
      </w:r>
      <w:r w:rsidRPr="00106434">
        <w:rPr>
          <w:rFonts w:asciiTheme="minorHAnsi" w:hAnsiTheme="minorHAnsi"/>
        </w:rPr>
        <w:t xml:space="preserve"> coordinated computer network </w:t>
      </w:r>
      <w:r>
        <w:rPr>
          <w:rFonts w:asciiTheme="minorHAnsi" w:hAnsiTheme="minorHAnsi"/>
        </w:rPr>
        <w:t>does not currently exist</w:t>
      </w:r>
      <w:r w:rsidR="00796B84">
        <w:rPr>
          <w:rFonts w:asciiTheme="minorHAnsi" w:hAnsiTheme="minorHAnsi"/>
        </w:rPr>
        <w:t>,</w:t>
      </w:r>
      <w:r>
        <w:rPr>
          <w:rFonts w:asciiTheme="minorHAnsi" w:hAnsiTheme="minorHAnsi"/>
        </w:rPr>
        <w:t xml:space="preserve"> this will pose a great</w:t>
      </w:r>
      <w:r w:rsidR="00AC3922">
        <w:rPr>
          <w:rFonts w:asciiTheme="minorHAnsi" w:hAnsiTheme="minorHAnsi"/>
        </w:rPr>
        <w:t>er</w:t>
      </w:r>
      <w:r>
        <w:rPr>
          <w:rFonts w:asciiTheme="minorHAnsi" w:hAnsiTheme="minorHAnsi"/>
        </w:rPr>
        <w:t xml:space="preserve"> challenge for EPs </w:t>
      </w:r>
      <w:r w:rsidR="00AC3922">
        <w:rPr>
          <w:rFonts w:asciiTheme="minorHAnsi" w:hAnsiTheme="minorHAnsi"/>
        </w:rPr>
        <w:t>in certain settings</w:t>
      </w:r>
      <w:r>
        <w:rPr>
          <w:rFonts w:asciiTheme="minorHAnsi" w:hAnsiTheme="minorHAnsi"/>
        </w:rPr>
        <w:t xml:space="preserve">. </w:t>
      </w:r>
      <w:r w:rsidR="006A27A4">
        <w:rPr>
          <w:rFonts w:asciiTheme="minorHAnsi" w:hAnsiTheme="minorHAnsi"/>
        </w:rPr>
        <w:t>Also</w:t>
      </w:r>
      <w:r>
        <w:rPr>
          <w:rFonts w:asciiTheme="minorHAnsi" w:hAnsiTheme="minorHAnsi"/>
        </w:rPr>
        <w:t xml:space="preserve">, e-prescribing has limited use due to an inability to dispense </w:t>
      </w:r>
      <w:r w:rsidR="00D65413">
        <w:rPr>
          <w:rFonts w:asciiTheme="minorHAnsi" w:hAnsiTheme="minorHAnsi"/>
        </w:rPr>
        <w:t>controlled substances</w:t>
      </w:r>
      <w:r>
        <w:rPr>
          <w:rFonts w:asciiTheme="minorHAnsi" w:hAnsiTheme="minorHAnsi"/>
        </w:rPr>
        <w:t>. In addition, many patients prefer hand</w:t>
      </w:r>
      <w:r w:rsidR="00796B84">
        <w:rPr>
          <w:rFonts w:asciiTheme="minorHAnsi" w:hAnsiTheme="minorHAnsi"/>
        </w:rPr>
        <w:t>-</w:t>
      </w:r>
      <w:r>
        <w:rPr>
          <w:rFonts w:asciiTheme="minorHAnsi" w:hAnsiTheme="minorHAnsi"/>
        </w:rPr>
        <w:t>written prescriptions so they can do comparison shopping</w:t>
      </w:r>
      <w:r w:rsidR="00796B84">
        <w:rPr>
          <w:rFonts w:asciiTheme="minorHAnsi" w:hAnsiTheme="minorHAnsi"/>
        </w:rPr>
        <w:t>,</w:t>
      </w:r>
      <w:r>
        <w:rPr>
          <w:rFonts w:asciiTheme="minorHAnsi" w:hAnsiTheme="minorHAnsi"/>
        </w:rPr>
        <w:t xml:space="preserve"> and therefore this might </w:t>
      </w:r>
      <w:r w:rsidR="006A27A4">
        <w:rPr>
          <w:rFonts w:asciiTheme="minorHAnsi" w:hAnsiTheme="minorHAnsi"/>
        </w:rPr>
        <w:t>prevent</w:t>
      </w:r>
      <w:r>
        <w:rPr>
          <w:rFonts w:asciiTheme="minorHAnsi" w:hAnsiTheme="minorHAnsi"/>
        </w:rPr>
        <w:t xml:space="preserve"> EPs </w:t>
      </w:r>
      <w:r w:rsidR="006A27A4">
        <w:rPr>
          <w:rFonts w:asciiTheme="minorHAnsi" w:hAnsiTheme="minorHAnsi"/>
        </w:rPr>
        <w:t>from</w:t>
      </w:r>
      <w:r>
        <w:rPr>
          <w:rFonts w:asciiTheme="minorHAnsi" w:hAnsiTheme="minorHAnsi"/>
        </w:rPr>
        <w:t xml:space="preserve"> reaching</w:t>
      </w:r>
      <w:r w:rsidR="006A27A4">
        <w:rPr>
          <w:rFonts w:asciiTheme="minorHAnsi" w:hAnsiTheme="minorHAnsi"/>
        </w:rPr>
        <w:t xml:space="preserve"> the</w:t>
      </w:r>
      <w:r>
        <w:rPr>
          <w:rFonts w:asciiTheme="minorHAnsi" w:hAnsiTheme="minorHAnsi"/>
        </w:rPr>
        <w:t xml:space="preserve"> 75%</w:t>
      </w:r>
      <w:r w:rsidR="006A27A4">
        <w:rPr>
          <w:rFonts w:asciiTheme="minorHAnsi" w:hAnsiTheme="minorHAnsi"/>
        </w:rPr>
        <w:t xml:space="preserve"> goal</w:t>
      </w:r>
      <w:r>
        <w:rPr>
          <w:rFonts w:asciiTheme="minorHAnsi" w:hAnsiTheme="minorHAnsi"/>
        </w:rPr>
        <w:t xml:space="preserve">. </w:t>
      </w:r>
      <w:r w:rsidRPr="00CC3EBF">
        <w:rPr>
          <w:rFonts w:asciiTheme="minorHAnsi" w:hAnsiTheme="minorHAnsi"/>
          <w:b/>
        </w:rPr>
        <w:t xml:space="preserve">We recommend that CMS reduce this threshold to </w:t>
      </w:r>
      <w:r w:rsidR="00D65413">
        <w:rPr>
          <w:rFonts w:asciiTheme="minorHAnsi" w:hAnsiTheme="minorHAnsi"/>
          <w:b/>
        </w:rPr>
        <w:t>25</w:t>
      </w:r>
      <w:r w:rsidRPr="00CC3EBF">
        <w:rPr>
          <w:rFonts w:asciiTheme="minorHAnsi" w:hAnsiTheme="minorHAnsi"/>
          <w:b/>
        </w:rPr>
        <w:t xml:space="preserve">% and defer it until stage III to allow for advancements in technology that are required to reach this level of compliance. </w:t>
      </w:r>
    </w:p>
    <w:p w:rsidR="00F24887" w:rsidRPr="00106434" w:rsidRDefault="00F24887" w:rsidP="00F24887">
      <w:pPr>
        <w:jc w:val="both"/>
        <w:rPr>
          <w:rFonts w:asciiTheme="minorHAnsi" w:hAnsiTheme="minorHAnsi" w:cs="Arial"/>
        </w:rPr>
      </w:pPr>
    </w:p>
    <w:p w:rsidR="00C20172" w:rsidRDefault="00C20172" w:rsidP="00F24887">
      <w:pPr>
        <w:jc w:val="both"/>
        <w:rPr>
          <w:rFonts w:asciiTheme="minorHAnsi" w:hAnsiTheme="minorHAnsi"/>
          <w:i/>
          <w:color w:val="000000"/>
        </w:rPr>
      </w:pPr>
    </w:p>
    <w:p w:rsidR="00C20172" w:rsidRDefault="00C20172" w:rsidP="00F24887">
      <w:pPr>
        <w:jc w:val="both"/>
        <w:rPr>
          <w:rFonts w:asciiTheme="minorHAnsi" w:hAnsiTheme="minorHAnsi"/>
          <w:i/>
          <w:color w:val="000000"/>
        </w:rPr>
      </w:pPr>
    </w:p>
    <w:p w:rsidR="00F24887" w:rsidRPr="00106434" w:rsidRDefault="00F24887" w:rsidP="00F24887">
      <w:pPr>
        <w:jc w:val="both"/>
        <w:rPr>
          <w:rFonts w:asciiTheme="minorHAnsi" w:hAnsiTheme="minorHAnsi"/>
          <w:i/>
          <w:color w:val="000000"/>
        </w:rPr>
      </w:pPr>
      <w:r w:rsidRPr="00106434">
        <w:rPr>
          <w:rFonts w:asciiTheme="minorHAnsi" w:hAnsiTheme="minorHAnsi"/>
          <w:i/>
          <w:color w:val="000000"/>
        </w:rPr>
        <w:t>Criterion: Maintain an up-to-date problem list of current and active diagnoses based on ICD-9-CM or SNOMED CT®.</w:t>
      </w:r>
    </w:p>
    <w:p w:rsidR="00F24887" w:rsidRPr="00CC3EBF" w:rsidRDefault="00F24887" w:rsidP="00F24887">
      <w:pPr>
        <w:jc w:val="both"/>
        <w:rPr>
          <w:rFonts w:asciiTheme="minorHAnsi" w:hAnsiTheme="minorHAnsi"/>
          <w:b/>
          <w:color w:val="000000"/>
        </w:rPr>
      </w:pPr>
      <w:r w:rsidRPr="00106434">
        <w:rPr>
          <w:rFonts w:asciiTheme="minorHAnsi" w:hAnsiTheme="minorHAnsi"/>
          <w:i/>
          <w:color w:val="000000"/>
        </w:rPr>
        <w:lastRenderedPageBreak/>
        <w:t>Recommendation:</w:t>
      </w:r>
      <w:r w:rsidRPr="00106434">
        <w:rPr>
          <w:rFonts w:asciiTheme="minorHAnsi" w:hAnsiTheme="minorHAnsi"/>
          <w:color w:val="000000"/>
        </w:rPr>
        <w:t xml:space="preserve"> </w:t>
      </w:r>
      <w:r>
        <w:rPr>
          <w:rFonts w:asciiTheme="minorHAnsi" w:hAnsiTheme="minorHAnsi"/>
          <w:color w:val="000000"/>
        </w:rPr>
        <w:t xml:space="preserve"> We are concerned that limiting the diagnoses to ICD-9-CM and SNOMED might inadvertently stifle</w:t>
      </w:r>
      <w:r w:rsidRPr="00106434">
        <w:rPr>
          <w:rFonts w:asciiTheme="minorHAnsi" w:hAnsiTheme="minorHAnsi"/>
        </w:rPr>
        <w:t xml:space="preserve"> innovation and exclude other useful tools from being adopted in the future. </w:t>
      </w:r>
      <w:r w:rsidRPr="00CC3EBF">
        <w:rPr>
          <w:rFonts w:asciiTheme="minorHAnsi" w:hAnsiTheme="minorHAnsi"/>
          <w:b/>
        </w:rPr>
        <w:t xml:space="preserve">We recommend that CMS include other alternatives such as MEDCIN® to encourage future improvements in documentation and decision support. </w:t>
      </w:r>
    </w:p>
    <w:p w:rsidR="00F24887" w:rsidRDefault="00F24887" w:rsidP="00F24887">
      <w:pPr>
        <w:jc w:val="both"/>
        <w:rPr>
          <w:rFonts w:asciiTheme="minorHAnsi" w:hAnsiTheme="minorHAnsi"/>
          <w:color w:val="000000"/>
        </w:rPr>
      </w:pPr>
    </w:p>
    <w:p w:rsidR="00F24887" w:rsidRPr="00E26B4F" w:rsidRDefault="00F24887" w:rsidP="00F24887">
      <w:pPr>
        <w:jc w:val="both"/>
        <w:rPr>
          <w:rFonts w:asciiTheme="minorHAnsi" w:hAnsiTheme="minorHAnsi"/>
          <w:i/>
          <w:color w:val="000000"/>
        </w:rPr>
      </w:pPr>
      <w:r w:rsidRPr="00E26B4F">
        <w:rPr>
          <w:rFonts w:asciiTheme="minorHAnsi" w:hAnsiTheme="minorHAnsi"/>
          <w:i/>
          <w:color w:val="000000"/>
        </w:rPr>
        <w:t>Criterion: Record and chart changes in the following vital signs: height, weight and blood pressure and calculate and display body mass index (BMI) for ages 2 and over; plot and display growth charts for children 2-20 years, including BMI.</w:t>
      </w:r>
    </w:p>
    <w:p w:rsidR="00F24887" w:rsidRPr="00E26B4F" w:rsidRDefault="00F24887" w:rsidP="00F24887">
      <w:pPr>
        <w:jc w:val="both"/>
        <w:rPr>
          <w:rFonts w:asciiTheme="minorHAnsi" w:hAnsiTheme="minorHAnsi"/>
          <w:i/>
          <w:color w:val="000000"/>
        </w:rPr>
      </w:pPr>
      <w:r w:rsidRPr="00E26B4F">
        <w:rPr>
          <w:rFonts w:asciiTheme="minorHAnsi" w:hAnsiTheme="minorHAnsi"/>
          <w:i/>
          <w:color w:val="000000"/>
        </w:rPr>
        <w:t>Measure: For at least 80 percent of all unique patients age 2 and over seen by the EP, record blood pressure and BMI; additionally, plot growth chart for children age 2 to 20.</w:t>
      </w:r>
    </w:p>
    <w:p w:rsidR="00F24887" w:rsidRDefault="00F24887" w:rsidP="00F24887">
      <w:pPr>
        <w:jc w:val="both"/>
        <w:rPr>
          <w:rFonts w:asciiTheme="minorHAnsi" w:hAnsiTheme="minorHAnsi"/>
          <w:i/>
          <w:color w:val="000000"/>
        </w:rPr>
      </w:pPr>
      <w:r w:rsidRPr="00AA6EF0">
        <w:rPr>
          <w:rFonts w:asciiTheme="minorHAnsi" w:hAnsiTheme="minorHAnsi"/>
          <w:i/>
        </w:rPr>
        <w:t>Recommendation:</w:t>
      </w:r>
      <w:r>
        <w:rPr>
          <w:rFonts w:asciiTheme="minorHAnsi" w:hAnsiTheme="minorHAnsi"/>
        </w:rPr>
        <w:t xml:space="preserve"> We believe that recording all vital signs might be appropriate for primary care physicians but </w:t>
      </w:r>
      <w:r w:rsidR="00FA4B03">
        <w:rPr>
          <w:rFonts w:asciiTheme="minorHAnsi" w:hAnsiTheme="minorHAnsi"/>
        </w:rPr>
        <w:t xml:space="preserve">may </w:t>
      </w:r>
      <w:r>
        <w:rPr>
          <w:rFonts w:asciiTheme="minorHAnsi" w:hAnsiTheme="minorHAnsi"/>
        </w:rPr>
        <w:t xml:space="preserve">not </w:t>
      </w:r>
      <w:r w:rsidR="00796B84">
        <w:rPr>
          <w:rFonts w:asciiTheme="minorHAnsi" w:hAnsiTheme="minorHAnsi"/>
        </w:rPr>
        <w:t xml:space="preserve">be </w:t>
      </w:r>
      <w:r>
        <w:rPr>
          <w:rFonts w:asciiTheme="minorHAnsi" w:hAnsiTheme="minorHAnsi"/>
        </w:rPr>
        <w:t>applicable to specialists like otolaryngologist – head and neck surgeons</w:t>
      </w:r>
      <w:r w:rsidR="00FA4B03">
        <w:rPr>
          <w:rFonts w:asciiTheme="minorHAnsi" w:hAnsiTheme="minorHAnsi"/>
        </w:rPr>
        <w:t xml:space="preserve">.  For example, </w:t>
      </w:r>
      <w:r>
        <w:rPr>
          <w:rFonts w:asciiTheme="minorHAnsi" w:hAnsiTheme="minorHAnsi"/>
        </w:rPr>
        <w:t xml:space="preserve">it would not </w:t>
      </w:r>
      <w:r w:rsidR="00FA4B03">
        <w:rPr>
          <w:rFonts w:asciiTheme="minorHAnsi" w:hAnsiTheme="minorHAnsi"/>
        </w:rPr>
        <w:t xml:space="preserve">necessarily </w:t>
      </w:r>
      <w:r>
        <w:rPr>
          <w:rFonts w:asciiTheme="minorHAnsi" w:hAnsiTheme="minorHAnsi"/>
        </w:rPr>
        <w:t>be relevant for our members to report growth charts, BMI</w:t>
      </w:r>
      <w:r w:rsidR="00796B84">
        <w:rPr>
          <w:rFonts w:asciiTheme="minorHAnsi" w:hAnsiTheme="minorHAnsi"/>
        </w:rPr>
        <w:t>,</w:t>
      </w:r>
      <w:r>
        <w:rPr>
          <w:rFonts w:asciiTheme="minorHAnsi" w:hAnsiTheme="minorHAnsi"/>
        </w:rPr>
        <w:t xml:space="preserve"> etc. </w:t>
      </w:r>
      <w:r w:rsidR="006A27A4">
        <w:rPr>
          <w:rFonts w:asciiTheme="minorHAnsi" w:hAnsiTheme="minorHAnsi"/>
        </w:rPr>
        <w:t xml:space="preserve">when unrelated to the presenting problem, especially </w:t>
      </w:r>
      <w:r>
        <w:rPr>
          <w:rFonts w:asciiTheme="minorHAnsi" w:hAnsiTheme="minorHAnsi"/>
        </w:rPr>
        <w:t>as these are functions that are primarily performed by primary care physicians. Therefore, to allow specialists to maintain appropriate work flows and our unique requirements for functionality, we recommend that CMS modify this criterion to state, “</w:t>
      </w:r>
      <w:r w:rsidRPr="00E26B4F">
        <w:rPr>
          <w:rFonts w:asciiTheme="minorHAnsi" w:hAnsiTheme="minorHAnsi"/>
          <w:i/>
          <w:color w:val="000000"/>
        </w:rPr>
        <w:t xml:space="preserve">Record and chart changes in the </w:t>
      </w:r>
      <w:r>
        <w:rPr>
          <w:rFonts w:asciiTheme="minorHAnsi" w:hAnsiTheme="minorHAnsi"/>
          <w:i/>
          <w:color w:val="000000"/>
        </w:rPr>
        <w:t xml:space="preserve">appropriate </w:t>
      </w:r>
      <w:r w:rsidRPr="00E26B4F">
        <w:rPr>
          <w:rFonts w:asciiTheme="minorHAnsi" w:hAnsiTheme="minorHAnsi"/>
          <w:i/>
          <w:color w:val="000000"/>
        </w:rPr>
        <w:t>vital signs</w:t>
      </w:r>
      <w:r>
        <w:rPr>
          <w:rFonts w:asciiTheme="minorHAnsi" w:hAnsiTheme="minorHAnsi"/>
          <w:i/>
          <w:color w:val="000000"/>
        </w:rPr>
        <w:t xml:space="preserve"> </w:t>
      </w:r>
      <w:r w:rsidRPr="00CC3EBF">
        <w:rPr>
          <w:rFonts w:asciiTheme="minorHAnsi" w:hAnsiTheme="minorHAnsi"/>
          <w:b/>
          <w:i/>
          <w:color w:val="000000"/>
          <w:u w:val="single"/>
        </w:rPr>
        <w:t>(based on EP’s specialty).</w:t>
      </w:r>
      <w:r>
        <w:rPr>
          <w:rFonts w:asciiTheme="minorHAnsi" w:hAnsiTheme="minorHAnsi"/>
          <w:i/>
          <w:color w:val="000000"/>
        </w:rPr>
        <w:t xml:space="preserve"> </w:t>
      </w:r>
    </w:p>
    <w:p w:rsidR="00F24887" w:rsidRDefault="00F24887" w:rsidP="00F24887">
      <w:pPr>
        <w:rPr>
          <w:rFonts w:asciiTheme="minorHAnsi" w:hAnsiTheme="minorHAnsi"/>
          <w:i/>
          <w:color w:val="000000"/>
        </w:rPr>
      </w:pPr>
    </w:p>
    <w:p w:rsidR="00F24887" w:rsidRPr="00106434" w:rsidRDefault="00F24887" w:rsidP="00F24887">
      <w:pPr>
        <w:jc w:val="both"/>
        <w:rPr>
          <w:rFonts w:asciiTheme="minorHAnsi" w:hAnsiTheme="minorHAnsi"/>
          <w:i/>
          <w:color w:val="000000"/>
        </w:rPr>
      </w:pPr>
      <w:r w:rsidRPr="00106434">
        <w:rPr>
          <w:rFonts w:asciiTheme="minorHAnsi" w:hAnsiTheme="minorHAnsi"/>
          <w:i/>
          <w:color w:val="000000"/>
        </w:rPr>
        <w:t>Criterion: Provide clinical summaries for patients of each office visit (not meant to apply to telephone or web visits).</w:t>
      </w:r>
    </w:p>
    <w:p w:rsidR="00F24887" w:rsidRPr="00106434" w:rsidRDefault="00F24887" w:rsidP="00F24887">
      <w:pPr>
        <w:jc w:val="both"/>
        <w:rPr>
          <w:rFonts w:asciiTheme="minorHAnsi" w:hAnsiTheme="minorHAnsi"/>
          <w:i/>
        </w:rPr>
      </w:pPr>
      <w:r w:rsidRPr="00106434">
        <w:rPr>
          <w:rFonts w:asciiTheme="minorHAnsi" w:hAnsiTheme="minorHAnsi"/>
          <w:i/>
        </w:rPr>
        <w:t xml:space="preserve">Measure: </w:t>
      </w:r>
      <w:r w:rsidRPr="00106434">
        <w:rPr>
          <w:rFonts w:asciiTheme="minorHAnsi" w:hAnsiTheme="minorHAnsi"/>
          <w:i/>
          <w:color w:val="000000"/>
        </w:rPr>
        <w:t>Clinical summaries provided to patients for at least 80 percent of all office visits. The clinical summary can be provided through a personal health record, patient portal on the web site, secure email, electronic media such as CD or USB fob, or printed copy.</w:t>
      </w:r>
    </w:p>
    <w:p w:rsidR="00F24887" w:rsidRPr="00106434" w:rsidRDefault="00F24887" w:rsidP="00F24887">
      <w:pPr>
        <w:jc w:val="both"/>
        <w:rPr>
          <w:rFonts w:asciiTheme="minorHAnsi" w:hAnsiTheme="minorHAnsi"/>
        </w:rPr>
      </w:pPr>
      <w:r w:rsidRPr="00AA6EF0">
        <w:rPr>
          <w:rFonts w:asciiTheme="minorHAnsi" w:hAnsiTheme="minorHAnsi"/>
          <w:i/>
        </w:rPr>
        <w:t>Recommendation:</w:t>
      </w:r>
      <w:r>
        <w:rPr>
          <w:rFonts w:asciiTheme="minorHAnsi" w:hAnsiTheme="minorHAnsi"/>
        </w:rPr>
        <w:t xml:space="preserve"> </w:t>
      </w:r>
      <w:r w:rsidRPr="00106434">
        <w:rPr>
          <w:rFonts w:asciiTheme="minorHAnsi" w:hAnsiTheme="minorHAnsi"/>
        </w:rPr>
        <w:t>Although we applaud the effort to inform and empower patients</w:t>
      </w:r>
      <w:r>
        <w:rPr>
          <w:rFonts w:asciiTheme="minorHAnsi" w:hAnsiTheme="minorHAnsi"/>
        </w:rPr>
        <w:t xml:space="preserve"> by providing clinical summaries for patients</w:t>
      </w:r>
      <w:r w:rsidRPr="00106434">
        <w:rPr>
          <w:rFonts w:asciiTheme="minorHAnsi" w:hAnsiTheme="minorHAnsi"/>
        </w:rPr>
        <w:t xml:space="preserve">, </w:t>
      </w:r>
      <w:r w:rsidR="000912E9">
        <w:rPr>
          <w:rFonts w:asciiTheme="minorHAnsi" w:hAnsiTheme="minorHAnsi"/>
        </w:rPr>
        <w:t xml:space="preserve">the degree to which </w:t>
      </w:r>
      <w:r w:rsidRPr="00106434">
        <w:rPr>
          <w:rFonts w:asciiTheme="minorHAnsi" w:hAnsiTheme="minorHAnsi"/>
        </w:rPr>
        <w:t xml:space="preserve">patients </w:t>
      </w:r>
      <w:r w:rsidR="000912E9">
        <w:rPr>
          <w:rFonts w:asciiTheme="minorHAnsi" w:hAnsiTheme="minorHAnsi"/>
        </w:rPr>
        <w:t xml:space="preserve">might </w:t>
      </w:r>
      <w:r w:rsidRPr="00106434">
        <w:rPr>
          <w:rFonts w:asciiTheme="minorHAnsi" w:hAnsiTheme="minorHAnsi"/>
        </w:rPr>
        <w:t xml:space="preserve">desire </w:t>
      </w:r>
      <w:r>
        <w:rPr>
          <w:rFonts w:asciiTheme="minorHAnsi" w:hAnsiTheme="minorHAnsi"/>
        </w:rPr>
        <w:t>summaries of their clinical visits</w:t>
      </w:r>
      <w:r w:rsidR="000912E9">
        <w:rPr>
          <w:rFonts w:asciiTheme="minorHAnsi" w:hAnsiTheme="minorHAnsi"/>
        </w:rPr>
        <w:t xml:space="preserve"> is unknown</w:t>
      </w:r>
      <w:r>
        <w:rPr>
          <w:rFonts w:asciiTheme="minorHAnsi" w:hAnsiTheme="minorHAnsi"/>
        </w:rPr>
        <w:t xml:space="preserve">. Hence, this requirement </w:t>
      </w:r>
      <w:r w:rsidR="000912E9">
        <w:rPr>
          <w:rFonts w:asciiTheme="minorHAnsi" w:hAnsiTheme="minorHAnsi"/>
        </w:rPr>
        <w:t xml:space="preserve">has the potential to </w:t>
      </w:r>
      <w:r>
        <w:rPr>
          <w:rFonts w:asciiTheme="minorHAnsi" w:hAnsiTheme="minorHAnsi"/>
        </w:rPr>
        <w:t>become an administrative burden to physicians</w:t>
      </w:r>
      <w:r w:rsidR="000912E9">
        <w:rPr>
          <w:rFonts w:asciiTheme="minorHAnsi" w:hAnsiTheme="minorHAnsi"/>
        </w:rPr>
        <w:t xml:space="preserve"> </w:t>
      </w:r>
      <w:r w:rsidR="006A27A4" w:rsidRPr="00E81DC4">
        <w:rPr>
          <w:rFonts w:asciiTheme="minorHAnsi" w:hAnsiTheme="minorHAnsi"/>
        </w:rPr>
        <w:t>and</w:t>
      </w:r>
      <w:r w:rsidR="00E81DC4" w:rsidRPr="00E81DC4">
        <w:rPr>
          <w:rFonts w:asciiTheme="minorHAnsi" w:hAnsiTheme="minorHAnsi"/>
        </w:rPr>
        <w:t xml:space="preserve"> increase</w:t>
      </w:r>
      <w:r w:rsidR="00E81DC4">
        <w:rPr>
          <w:rFonts w:asciiTheme="minorHAnsi" w:hAnsiTheme="minorHAnsi"/>
        </w:rPr>
        <w:t>s</w:t>
      </w:r>
      <w:r w:rsidR="00E81DC4" w:rsidRPr="00E81DC4">
        <w:rPr>
          <w:rFonts w:asciiTheme="minorHAnsi" w:hAnsiTheme="minorHAnsi"/>
        </w:rPr>
        <w:t xml:space="preserve"> the risk of patient confidentiality breaches </w:t>
      </w:r>
      <w:r w:rsidR="006A27A4">
        <w:rPr>
          <w:rFonts w:asciiTheme="minorHAnsi" w:hAnsiTheme="minorHAnsi"/>
        </w:rPr>
        <w:t>or even opposition</w:t>
      </w:r>
      <w:r w:rsidR="000912E9">
        <w:rPr>
          <w:rFonts w:asciiTheme="minorHAnsi" w:hAnsiTheme="minorHAnsi"/>
        </w:rPr>
        <w:t xml:space="preserve"> from patients</w:t>
      </w:r>
      <w:r>
        <w:rPr>
          <w:rFonts w:asciiTheme="minorHAnsi" w:hAnsiTheme="minorHAnsi"/>
        </w:rPr>
        <w:t>. Furthermore, this objective is redundant since the Health Information Portabi</w:t>
      </w:r>
      <w:r w:rsidRPr="00106434">
        <w:rPr>
          <w:rFonts w:asciiTheme="minorHAnsi" w:hAnsiTheme="minorHAnsi"/>
        </w:rPr>
        <w:t>l</w:t>
      </w:r>
      <w:r>
        <w:rPr>
          <w:rFonts w:asciiTheme="minorHAnsi" w:hAnsiTheme="minorHAnsi"/>
        </w:rPr>
        <w:t xml:space="preserve">ity and Accountability Act (HIPAA) has already noted that </w:t>
      </w:r>
      <w:r w:rsidRPr="00106434">
        <w:rPr>
          <w:rFonts w:asciiTheme="minorHAnsi" w:hAnsiTheme="minorHAnsi"/>
        </w:rPr>
        <w:t>every patient has the right to request medical records</w:t>
      </w:r>
      <w:r>
        <w:rPr>
          <w:rFonts w:asciiTheme="minorHAnsi" w:hAnsiTheme="minorHAnsi"/>
        </w:rPr>
        <w:t>. Our recommendation is that CMS revise the criterion to state, “</w:t>
      </w:r>
      <w:r w:rsidRPr="00106434">
        <w:rPr>
          <w:rFonts w:asciiTheme="minorHAnsi" w:hAnsiTheme="minorHAnsi"/>
          <w:i/>
          <w:color w:val="000000"/>
        </w:rPr>
        <w:t xml:space="preserve">Provide clinical summaries for patients </w:t>
      </w:r>
      <w:r w:rsidRPr="00CC3EBF">
        <w:rPr>
          <w:rFonts w:asciiTheme="minorHAnsi" w:hAnsiTheme="minorHAnsi"/>
          <w:b/>
          <w:i/>
          <w:color w:val="000000"/>
          <w:u w:val="single"/>
        </w:rPr>
        <w:t>(only upon request)</w:t>
      </w:r>
      <w:r>
        <w:rPr>
          <w:rFonts w:asciiTheme="minorHAnsi" w:hAnsiTheme="minorHAnsi"/>
          <w:i/>
          <w:color w:val="000000"/>
        </w:rPr>
        <w:t xml:space="preserve"> </w:t>
      </w:r>
      <w:r w:rsidRPr="00106434">
        <w:rPr>
          <w:rFonts w:asciiTheme="minorHAnsi" w:hAnsiTheme="minorHAnsi"/>
          <w:i/>
          <w:color w:val="000000"/>
        </w:rPr>
        <w:t>of each office visit</w:t>
      </w:r>
      <w:r>
        <w:rPr>
          <w:rFonts w:asciiTheme="minorHAnsi" w:hAnsiTheme="minorHAnsi"/>
        </w:rPr>
        <w:t>.</w:t>
      </w:r>
      <w:r w:rsidR="000912E9">
        <w:rPr>
          <w:rFonts w:asciiTheme="minorHAnsi" w:hAnsiTheme="minorHAnsi"/>
        </w:rPr>
        <w:t>”</w:t>
      </w:r>
      <w:r>
        <w:rPr>
          <w:rFonts w:asciiTheme="minorHAnsi" w:hAnsiTheme="minorHAnsi"/>
        </w:rPr>
        <w:t xml:space="preserve"> </w:t>
      </w:r>
    </w:p>
    <w:p w:rsidR="00F24887" w:rsidRPr="00106434" w:rsidRDefault="00F24887" w:rsidP="00F24887">
      <w:pPr>
        <w:rPr>
          <w:rFonts w:asciiTheme="minorHAnsi" w:hAnsiTheme="minorHAnsi"/>
        </w:rPr>
      </w:pPr>
    </w:p>
    <w:p w:rsidR="00F24887" w:rsidRPr="00106434" w:rsidRDefault="00F24887" w:rsidP="00F24887">
      <w:pPr>
        <w:jc w:val="both"/>
        <w:rPr>
          <w:rFonts w:asciiTheme="minorHAnsi" w:hAnsiTheme="minorHAnsi"/>
          <w:i/>
          <w:color w:val="000000"/>
        </w:rPr>
      </w:pPr>
      <w:r w:rsidRPr="00106434">
        <w:rPr>
          <w:rFonts w:asciiTheme="minorHAnsi" w:hAnsiTheme="minorHAnsi"/>
          <w:i/>
          <w:color w:val="000000"/>
        </w:rPr>
        <w:lastRenderedPageBreak/>
        <w:t>Criterion: Implement five clinical decision support rules relevant to specialty or high clinical priority, including diagnostic test ordering, along with the ability to track compliance with those rules. CMS proposes to describe clinical decision support as HIT functionality that provides persons involved in care processes with general and person-specific information, intelligently filtered and organized, at appropriate times, to enhance health and health care.</w:t>
      </w:r>
    </w:p>
    <w:p w:rsidR="00F24887" w:rsidRPr="00106434" w:rsidRDefault="00F24887" w:rsidP="00F24887">
      <w:pPr>
        <w:jc w:val="both"/>
        <w:rPr>
          <w:rFonts w:asciiTheme="minorHAnsi" w:hAnsiTheme="minorHAnsi"/>
          <w:i/>
          <w:color w:val="000000"/>
        </w:rPr>
      </w:pPr>
      <w:r w:rsidRPr="00106434">
        <w:rPr>
          <w:rFonts w:asciiTheme="minorHAnsi" w:hAnsiTheme="minorHAnsi"/>
          <w:i/>
          <w:color w:val="000000"/>
        </w:rPr>
        <w:t>Measure: Implement five clinical decision support rules relevant to the clinical quality metrics the EP is responsible for.</w:t>
      </w:r>
    </w:p>
    <w:p w:rsidR="00F24887" w:rsidRPr="00CC3EBF" w:rsidRDefault="00F24887" w:rsidP="00F24887">
      <w:pPr>
        <w:jc w:val="both"/>
        <w:rPr>
          <w:rFonts w:asciiTheme="minorHAnsi" w:hAnsiTheme="minorHAnsi"/>
          <w:b/>
        </w:rPr>
      </w:pPr>
      <w:r w:rsidRPr="00AA6EF0">
        <w:rPr>
          <w:rFonts w:asciiTheme="minorHAnsi" w:hAnsiTheme="minorHAnsi"/>
          <w:i/>
        </w:rPr>
        <w:t>Recommendation:</w:t>
      </w:r>
      <w:r>
        <w:rPr>
          <w:rFonts w:asciiTheme="minorHAnsi" w:hAnsiTheme="minorHAnsi"/>
        </w:rPr>
        <w:t xml:space="preserve"> We strongly oppose this measure because implementing decision support</w:t>
      </w:r>
      <w:r w:rsidR="009073F3">
        <w:rPr>
          <w:rFonts w:asciiTheme="minorHAnsi" w:hAnsiTheme="minorHAnsi"/>
        </w:rPr>
        <w:t xml:space="preserve"> (DS)</w:t>
      </w:r>
      <w:r>
        <w:rPr>
          <w:rFonts w:asciiTheme="minorHAnsi" w:hAnsiTheme="minorHAnsi"/>
        </w:rPr>
        <w:t xml:space="preserve"> for five</w:t>
      </w:r>
      <w:r w:rsidRPr="00106434">
        <w:rPr>
          <w:rFonts w:asciiTheme="minorHAnsi" w:hAnsiTheme="minorHAnsi"/>
        </w:rPr>
        <w:t xml:space="preserve"> criteria in a</w:t>
      </w:r>
      <w:r>
        <w:rPr>
          <w:rFonts w:asciiTheme="minorHAnsi" w:hAnsiTheme="minorHAnsi"/>
        </w:rPr>
        <w:t xml:space="preserve">ny specialty </w:t>
      </w:r>
      <w:r w:rsidR="00A61F40">
        <w:rPr>
          <w:rFonts w:asciiTheme="minorHAnsi" w:hAnsiTheme="minorHAnsi"/>
        </w:rPr>
        <w:t xml:space="preserve">requires the development of EHR hardware and software and should be a criterion for vendors of EHRs. Once a platform adequate for a specialty exits, it </w:t>
      </w:r>
      <w:r>
        <w:rPr>
          <w:rFonts w:asciiTheme="minorHAnsi" w:hAnsiTheme="minorHAnsi"/>
        </w:rPr>
        <w:t xml:space="preserve">is </w:t>
      </w:r>
      <w:r w:rsidR="009073F3">
        <w:rPr>
          <w:rFonts w:asciiTheme="minorHAnsi" w:hAnsiTheme="minorHAnsi"/>
        </w:rPr>
        <w:t xml:space="preserve">still </w:t>
      </w:r>
      <w:r>
        <w:rPr>
          <w:rFonts w:asciiTheme="minorHAnsi" w:hAnsiTheme="minorHAnsi"/>
        </w:rPr>
        <w:t>a formidable task</w:t>
      </w:r>
      <w:r w:rsidR="009073F3">
        <w:rPr>
          <w:rFonts w:asciiTheme="minorHAnsi" w:hAnsiTheme="minorHAnsi"/>
        </w:rPr>
        <w:t xml:space="preserve"> and</w:t>
      </w:r>
      <w:r w:rsidRPr="00106434">
        <w:rPr>
          <w:rFonts w:asciiTheme="minorHAnsi" w:hAnsiTheme="minorHAnsi"/>
        </w:rPr>
        <w:t xml:space="preserve"> cumbersome to document even with the best systems. </w:t>
      </w:r>
      <w:r>
        <w:rPr>
          <w:rFonts w:asciiTheme="minorHAnsi" w:hAnsiTheme="minorHAnsi"/>
        </w:rPr>
        <w:t>We believe that g</w:t>
      </w:r>
      <w:r w:rsidRPr="00106434">
        <w:rPr>
          <w:rFonts w:asciiTheme="minorHAnsi" w:hAnsiTheme="minorHAnsi"/>
        </w:rPr>
        <w:t xml:space="preserve">ood </w:t>
      </w:r>
      <w:r w:rsidR="009073F3">
        <w:rPr>
          <w:rFonts w:asciiTheme="minorHAnsi" w:hAnsiTheme="minorHAnsi"/>
        </w:rPr>
        <w:t xml:space="preserve">DS </w:t>
      </w:r>
      <w:r w:rsidRPr="00106434">
        <w:rPr>
          <w:rFonts w:asciiTheme="minorHAnsi" w:hAnsiTheme="minorHAnsi"/>
        </w:rPr>
        <w:t xml:space="preserve">measures for all specialties are not currently available, and the technology does not currently exist to efficiently record and report </w:t>
      </w:r>
      <w:r w:rsidR="009073F3">
        <w:rPr>
          <w:rFonts w:asciiTheme="minorHAnsi" w:hAnsiTheme="minorHAnsi"/>
        </w:rPr>
        <w:t xml:space="preserve">DS and other </w:t>
      </w:r>
      <w:r w:rsidRPr="00106434">
        <w:rPr>
          <w:rFonts w:asciiTheme="minorHAnsi" w:hAnsiTheme="minorHAnsi"/>
        </w:rPr>
        <w:t xml:space="preserve">quality measures. </w:t>
      </w:r>
      <w:r w:rsidRPr="00CC3EBF">
        <w:rPr>
          <w:rFonts w:asciiTheme="minorHAnsi" w:hAnsiTheme="minorHAnsi"/>
          <w:b/>
        </w:rPr>
        <w:t>We recommend that these measures be excluded from the meaningful use criteria</w:t>
      </w:r>
      <w:r w:rsidR="009073F3">
        <w:rPr>
          <w:rFonts w:asciiTheme="minorHAnsi" w:hAnsiTheme="minorHAnsi"/>
          <w:b/>
        </w:rPr>
        <w:t xml:space="preserve"> until a more appropriate time</w:t>
      </w:r>
      <w:r w:rsidRPr="00CC3EBF">
        <w:rPr>
          <w:rFonts w:asciiTheme="minorHAnsi" w:hAnsiTheme="minorHAnsi"/>
          <w:b/>
        </w:rPr>
        <w:t>.</w:t>
      </w:r>
    </w:p>
    <w:p w:rsidR="00F24887" w:rsidRPr="00106434" w:rsidRDefault="00F24887" w:rsidP="00F24887">
      <w:pPr>
        <w:rPr>
          <w:rFonts w:asciiTheme="minorHAnsi" w:hAnsiTheme="minorHAnsi"/>
        </w:rPr>
      </w:pPr>
    </w:p>
    <w:p w:rsidR="00F24887" w:rsidRPr="00106434" w:rsidRDefault="00F24887" w:rsidP="00F24887">
      <w:pPr>
        <w:jc w:val="both"/>
        <w:rPr>
          <w:rFonts w:asciiTheme="minorHAnsi" w:hAnsiTheme="minorHAnsi"/>
          <w:color w:val="1F497D"/>
        </w:rPr>
      </w:pPr>
    </w:p>
    <w:p w:rsidR="00F24887" w:rsidRPr="004C3DAC" w:rsidRDefault="00F24887" w:rsidP="00F24887">
      <w:pPr>
        <w:jc w:val="both"/>
        <w:rPr>
          <w:rFonts w:asciiTheme="minorHAnsi" w:hAnsiTheme="minorHAnsi"/>
          <w:b/>
        </w:rPr>
      </w:pPr>
      <w:r w:rsidRPr="004C3DAC">
        <w:rPr>
          <w:rFonts w:asciiTheme="minorHAnsi" w:hAnsiTheme="minorHAnsi"/>
          <w:b/>
        </w:rPr>
        <w:t xml:space="preserve">Clinical Quality Measures </w:t>
      </w:r>
    </w:p>
    <w:p w:rsidR="00F24887" w:rsidRPr="00654AE2" w:rsidRDefault="00F24887" w:rsidP="00F24887">
      <w:pPr>
        <w:jc w:val="both"/>
        <w:rPr>
          <w:rFonts w:asciiTheme="minorHAnsi" w:hAnsiTheme="minorHAnsi"/>
        </w:rPr>
      </w:pPr>
      <w:r>
        <w:rPr>
          <w:rFonts w:asciiTheme="minorHAnsi" w:hAnsiTheme="minorHAnsi"/>
        </w:rPr>
        <w:t>First, we s</w:t>
      </w:r>
      <w:r w:rsidRPr="00106434">
        <w:rPr>
          <w:rFonts w:asciiTheme="minorHAnsi" w:hAnsiTheme="minorHAnsi"/>
        </w:rPr>
        <w:t>upport data registries as a potential alternative within which to report the req</w:t>
      </w:r>
      <w:r>
        <w:rPr>
          <w:rFonts w:asciiTheme="minorHAnsi" w:hAnsiTheme="minorHAnsi"/>
        </w:rPr>
        <w:t>uired clinical quality measures. In addition, we s</w:t>
      </w:r>
      <w:r w:rsidRPr="00116BB4">
        <w:rPr>
          <w:rFonts w:asciiTheme="minorHAnsi" w:hAnsiTheme="minorHAnsi"/>
        </w:rPr>
        <w:t xml:space="preserve">upport the exemption of </w:t>
      </w:r>
      <w:r>
        <w:rPr>
          <w:rFonts w:asciiTheme="minorHAnsi" w:hAnsiTheme="minorHAnsi"/>
        </w:rPr>
        <w:t>otolaryngologist – head and neck surgeons</w:t>
      </w:r>
      <w:r w:rsidRPr="00116BB4">
        <w:rPr>
          <w:rFonts w:asciiTheme="minorHAnsi" w:hAnsiTheme="minorHAnsi"/>
        </w:rPr>
        <w:t xml:space="preserve"> from reporting specialty </w:t>
      </w:r>
      <w:r>
        <w:rPr>
          <w:rFonts w:asciiTheme="minorHAnsi" w:hAnsiTheme="minorHAnsi"/>
        </w:rPr>
        <w:t xml:space="preserve">clinical </w:t>
      </w:r>
      <w:r w:rsidRPr="00116BB4">
        <w:rPr>
          <w:rFonts w:asciiTheme="minorHAnsi" w:hAnsiTheme="minorHAnsi"/>
        </w:rPr>
        <w:t xml:space="preserve">measures </w:t>
      </w:r>
      <w:r>
        <w:rPr>
          <w:rFonts w:asciiTheme="minorHAnsi" w:hAnsiTheme="minorHAnsi"/>
        </w:rPr>
        <w:t>that were identified in the proposed rule because no specialty group is applicable. We observed that out of</w:t>
      </w:r>
      <w:r w:rsidRPr="00106434">
        <w:rPr>
          <w:rFonts w:asciiTheme="minorHAnsi" w:hAnsiTheme="minorHAnsi"/>
        </w:rPr>
        <w:t xml:space="preserve"> the ninety proposed Clinical Quality measures included in Table 3</w:t>
      </w:r>
      <w:r>
        <w:rPr>
          <w:rFonts w:asciiTheme="minorHAnsi" w:hAnsiTheme="minorHAnsi"/>
        </w:rPr>
        <w:t xml:space="preserve"> of the proposed regulation</w:t>
      </w:r>
      <w:r w:rsidRPr="00106434">
        <w:rPr>
          <w:rFonts w:asciiTheme="minorHAnsi" w:hAnsiTheme="minorHAnsi"/>
        </w:rPr>
        <w:t xml:space="preserve">, </w:t>
      </w:r>
      <w:r w:rsidR="000912E9">
        <w:rPr>
          <w:rFonts w:asciiTheme="minorHAnsi" w:hAnsiTheme="minorHAnsi"/>
        </w:rPr>
        <w:t xml:space="preserve">ten, </w:t>
      </w:r>
      <w:r w:rsidRPr="00106434">
        <w:rPr>
          <w:rFonts w:asciiTheme="minorHAnsi" w:hAnsiTheme="minorHAnsi"/>
        </w:rPr>
        <w:t xml:space="preserve">at most, of these measures could be applicable for </w:t>
      </w:r>
      <w:r w:rsidR="000D7D81" w:rsidRPr="000D7D81">
        <w:rPr>
          <w:rFonts w:asciiTheme="minorHAnsi" w:hAnsiTheme="minorHAnsi"/>
          <w:i/>
        </w:rPr>
        <w:t>some</w:t>
      </w:r>
      <w:r w:rsidRPr="00106434">
        <w:rPr>
          <w:rFonts w:asciiTheme="minorHAnsi" w:hAnsiTheme="minorHAnsi"/>
        </w:rPr>
        <w:t xml:space="preserve"> otolaryngology reporting. </w:t>
      </w:r>
      <w:r w:rsidR="0088779F" w:rsidRPr="00654AE2">
        <w:rPr>
          <w:rFonts w:asciiTheme="minorHAnsi" w:hAnsiTheme="minorHAnsi"/>
        </w:rPr>
        <w:t>In addition, the proceduralist measures outlined in Table 9</w:t>
      </w:r>
      <w:r w:rsidR="0079794D" w:rsidRPr="00654AE2">
        <w:rPr>
          <w:rFonts w:asciiTheme="minorHAnsi" w:hAnsiTheme="minorHAnsi"/>
        </w:rPr>
        <w:t xml:space="preserve"> are not applicable to many oto</w:t>
      </w:r>
      <w:r w:rsidR="0088779F" w:rsidRPr="00654AE2">
        <w:rPr>
          <w:rFonts w:asciiTheme="minorHAnsi" w:hAnsiTheme="minorHAnsi"/>
        </w:rPr>
        <w:t>laryngologists.</w:t>
      </w:r>
      <w:r w:rsidR="0088779F" w:rsidRPr="0088779F">
        <w:rPr>
          <w:rFonts w:asciiTheme="minorHAnsi" w:hAnsiTheme="minorHAnsi"/>
          <w:color w:val="FF0000"/>
        </w:rPr>
        <w:t xml:space="preserve">  </w:t>
      </w:r>
      <w:r w:rsidRPr="0088779F">
        <w:rPr>
          <w:rFonts w:asciiTheme="minorHAnsi" w:hAnsiTheme="minorHAnsi"/>
        </w:rPr>
        <w:t>Therefore, we recommend that CMS exclud</w:t>
      </w:r>
      <w:r>
        <w:rPr>
          <w:rFonts w:asciiTheme="minorHAnsi" w:hAnsiTheme="minorHAnsi"/>
        </w:rPr>
        <w:t xml:space="preserve">e otolaryngologist – head and neck surgeons from reporting these quality measures until more substantial </w:t>
      </w:r>
      <w:r w:rsidR="009073F3">
        <w:rPr>
          <w:rFonts w:asciiTheme="minorHAnsi" w:hAnsiTheme="minorHAnsi"/>
        </w:rPr>
        <w:t xml:space="preserve">and relevant </w:t>
      </w:r>
      <w:r>
        <w:rPr>
          <w:rFonts w:asciiTheme="minorHAnsi" w:hAnsiTheme="minorHAnsi"/>
        </w:rPr>
        <w:t xml:space="preserve">measures specific to our specialty are developed. By doing so, these specialists would not be penalized for not being able to report on measures that are unrelated to our specialty. Finally, we recommend that CMS include the quality </w:t>
      </w:r>
      <w:r w:rsidRPr="00654AE2">
        <w:rPr>
          <w:rFonts w:asciiTheme="minorHAnsi" w:hAnsiTheme="minorHAnsi"/>
        </w:rPr>
        <w:t>measures</w:t>
      </w:r>
      <w:r w:rsidR="0088779F" w:rsidRPr="00654AE2">
        <w:rPr>
          <w:rFonts w:asciiTheme="minorHAnsi" w:hAnsiTheme="minorHAnsi"/>
        </w:rPr>
        <w:t xml:space="preserve"> included below</w:t>
      </w:r>
      <w:r w:rsidRPr="00654AE2">
        <w:rPr>
          <w:rFonts w:asciiTheme="minorHAnsi" w:hAnsiTheme="minorHAnsi"/>
        </w:rPr>
        <w:t xml:space="preserve"> for Acute </w:t>
      </w:r>
      <w:proofErr w:type="spellStart"/>
      <w:r w:rsidRPr="00654AE2">
        <w:rPr>
          <w:rFonts w:asciiTheme="minorHAnsi" w:hAnsiTheme="minorHAnsi"/>
        </w:rPr>
        <w:t>Otitis</w:t>
      </w:r>
      <w:proofErr w:type="spellEnd"/>
      <w:r w:rsidRPr="00654AE2">
        <w:rPr>
          <w:rFonts w:asciiTheme="minorHAnsi" w:hAnsiTheme="minorHAnsi"/>
        </w:rPr>
        <w:t xml:space="preserve"> </w:t>
      </w:r>
      <w:proofErr w:type="spellStart"/>
      <w:r w:rsidRPr="00654AE2">
        <w:rPr>
          <w:rFonts w:asciiTheme="minorHAnsi" w:hAnsiTheme="minorHAnsi"/>
        </w:rPr>
        <w:t>Externa</w:t>
      </w:r>
      <w:proofErr w:type="spellEnd"/>
      <w:r w:rsidRPr="00654AE2">
        <w:rPr>
          <w:rFonts w:asciiTheme="minorHAnsi" w:hAnsiTheme="minorHAnsi"/>
        </w:rPr>
        <w:t xml:space="preserve"> and </w:t>
      </w:r>
      <w:proofErr w:type="spellStart"/>
      <w:r w:rsidRPr="00654AE2">
        <w:rPr>
          <w:rFonts w:asciiTheme="minorHAnsi" w:hAnsiTheme="minorHAnsi"/>
        </w:rPr>
        <w:t>Otitis</w:t>
      </w:r>
      <w:proofErr w:type="spellEnd"/>
      <w:r w:rsidRPr="00654AE2">
        <w:rPr>
          <w:rFonts w:asciiTheme="minorHAnsi" w:hAnsiTheme="minorHAnsi"/>
        </w:rPr>
        <w:t xml:space="preserve"> Media with Effusion</w:t>
      </w:r>
      <w:r w:rsidR="0088779F" w:rsidRPr="00654AE2">
        <w:rPr>
          <w:rFonts w:asciiTheme="minorHAnsi" w:hAnsiTheme="minorHAnsi"/>
        </w:rPr>
        <w:t xml:space="preserve"> and provide language within the rule which outlines the process for approving the addition of new measures as they become available</w:t>
      </w:r>
      <w:r w:rsidR="00B74080" w:rsidRPr="00654AE2">
        <w:rPr>
          <w:rFonts w:asciiTheme="minorHAnsi" w:hAnsiTheme="minorHAnsi"/>
        </w:rPr>
        <w:t>.</w:t>
      </w:r>
      <w:r w:rsidRPr="00654AE2">
        <w:rPr>
          <w:rFonts w:asciiTheme="minorHAnsi" w:hAnsiTheme="minorHAnsi"/>
        </w:rPr>
        <w:t xml:space="preserve"> </w:t>
      </w:r>
    </w:p>
    <w:p w:rsidR="00F24887" w:rsidRPr="004C3DAC" w:rsidRDefault="00F24887" w:rsidP="00F24887">
      <w:pPr>
        <w:rPr>
          <w:rFonts w:asciiTheme="minorHAnsi" w:hAnsiTheme="minorHAnsi"/>
        </w:rPr>
      </w:pPr>
      <w:r w:rsidRPr="004C3DAC">
        <w:rPr>
          <w:rFonts w:asciiTheme="minorHAnsi" w:hAnsiTheme="minorHAnsi"/>
        </w:rPr>
        <w:t xml:space="preserve">  </w:t>
      </w:r>
    </w:p>
    <w:p w:rsidR="00F24887" w:rsidRPr="00654AE2" w:rsidRDefault="00F24887" w:rsidP="00F24887">
      <w:pPr>
        <w:rPr>
          <w:rFonts w:asciiTheme="minorHAnsi" w:hAnsiTheme="minorHAnsi"/>
          <w:u w:val="single"/>
        </w:rPr>
      </w:pPr>
      <w:r w:rsidRPr="00654AE2">
        <w:rPr>
          <w:rFonts w:asciiTheme="minorHAnsi" w:hAnsiTheme="minorHAnsi"/>
          <w:u w:val="single"/>
        </w:rPr>
        <w:t xml:space="preserve">Acute </w:t>
      </w:r>
      <w:proofErr w:type="spellStart"/>
      <w:r w:rsidRPr="00654AE2">
        <w:rPr>
          <w:rFonts w:asciiTheme="minorHAnsi" w:hAnsiTheme="minorHAnsi"/>
          <w:u w:val="single"/>
        </w:rPr>
        <w:t>Otitis</w:t>
      </w:r>
      <w:proofErr w:type="spellEnd"/>
      <w:r w:rsidRPr="00654AE2">
        <w:rPr>
          <w:rFonts w:asciiTheme="minorHAnsi" w:hAnsiTheme="minorHAnsi"/>
          <w:u w:val="single"/>
        </w:rPr>
        <w:t xml:space="preserve"> </w:t>
      </w:r>
      <w:proofErr w:type="spellStart"/>
      <w:r w:rsidRPr="00654AE2">
        <w:rPr>
          <w:rFonts w:asciiTheme="minorHAnsi" w:hAnsiTheme="minorHAnsi"/>
          <w:u w:val="single"/>
        </w:rPr>
        <w:t>Externa</w:t>
      </w:r>
      <w:proofErr w:type="spellEnd"/>
      <w:r w:rsidRPr="00654AE2">
        <w:rPr>
          <w:rFonts w:asciiTheme="minorHAnsi" w:hAnsiTheme="minorHAnsi"/>
          <w:u w:val="single"/>
        </w:rPr>
        <w:t xml:space="preserve"> (AOE)</w:t>
      </w:r>
    </w:p>
    <w:p w:rsidR="00F24887" w:rsidRPr="00654AE2" w:rsidRDefault="00F24887" w:rsidP="00F24887">
      <w:pPr>
        <w:rPr>
          <w:rFonts w:asciiTheme="minorHAnsi" w:hAnsiTheme="minorHAnsi"/>
        </w:rPr>
      </w:pPr>
      <w:r w:rsidRPr="00654AE2">
        <w:rPr>
          <w:rFonts w:asciiTheme="minorHAnsi" w:hAnsiTheme="minorHAnsi"/>
        </w:rPr>
        <w:t>91.  Topical Therapy</w:t>
      </w:r>
    </w:p>
    <w:p w:rsidR="00F24887" w:rsidRPr="00654AE2" w:rsidRDefault="00F24887" w:rsidP="00F24887">
      <w:pPr>
        <w:rPr>
          <w:rFonts w:asciiTheme="minorHAnsi" w:hAnsiTheme="minorHAnsi"/>
        </w:rPr>
      </w:pPr>
      <w:r w:rsidRPr="00654AE2">
        <w:rPr>
          <w:rFonts w:asciiTheme="minorHAnsi" w:hAnsiTheme="minorHAnsi"/>
        </w:rPr>
        <w:lastRenderedPageBreak/>
        <w:t>92.  Pain Assessment</w:t>
      </w:r>
    </w:p>
    <w:p w:rsidR="00F24887" w:rsidRPr="00654AE2" w:rsidRDefault="00F24887" w:rsidP="00F24887">
      <w:pPr>
        <w:rPr>
          <w:rFonts w:asciiTheme="minorHAnsi" w:hAnsiTheme="minorHAnsi"/>
        </w:rPr>
      </w:pPr>
      <w:r w:rsidRPr="00654AE2">
        <w:rPr>
          <w:rFonts w:asciiTheme="minorHAnsi" w:hAnsiTheme="minorHAnsi"/>
        </w:rPr>
        <w:t>93.  Systemic antimicrobial therapy – avoidance of inappropriate use</w:t>
      </w:r>
    </w:p>
    <w:p w:rsidR="00F24887" w:rsidRPr="00654AE2" w:rsidRDefault="00F24887" w:rsidP="00F24887">
      <w:pPr>
        <w:rPr>
          <w:rFonts w:asciiTheme="minorHAnsi" w:hAnsiTheme="minorHAnsi"/>
        </w:rPr>
      </w:pPr>
    </w:p>
    <w:p w:rsidR="00F24887" w:rsidRPr="00654AE2" w:rsidRDefault="00F24887" w:rsidP="00F24887">
      <w:pPr>
        <w:rPr>
          <w:rFonts w:asciiTheme="minorHAnsi" w:hAnsiTheme="minorHAnsi"/>
        </w:rPr>
      </w:pPr>
      <w:proofErr w:type="spellStart"/>
      <w:r w:rsidRPr="00654AE2">
        <w:rPr>
          <w:rFonts w:asciiTheme="minorHAnsi" w:hAnsiTheme="minorHAnsi"/>
          <w:u w:val="single"/>
        </w:rPr>
        <w:t>Otitis</w:t>
      </w:r>
      <w:proofErr w:type="spellEnd"/>
      <w:r w:rsidRPr="00654AE2">
        <w:rPr>
          <w:rFonts w:asciiTheme="minorHAnsi" w:hAnsiTheme="minorHAnsi"/>
          <w:u w:val="single"/>
        </w:rPr>
        <w:t xml:space="preserve"> Media with Effusion</w:t>
      </w:r>
      <w:r w:rsidRPr="00654AE2">
        <w:rPr>
          <w:rFonts w:asciiTheme="minorHAnsi" w:hAnsiTheme="minorHAnsi"/>
        </w:rPr>
        <w:t xml:space="preserve"> (OME)</w:t>
      </w:r>
    </w:p>
    <w:p w:rsidR="00F24887" w:rsidRPr="00654AE2" w:rsidRDefault="00F24887" w:rsidP="00F24887">
      <w:pPr>
        <w:rPr>
          <w:rFonts w:asciiTheme="minorHAnsi" w:hAnsiTheme="minorHAnsi"/>
        </w:rPr>
      </w:pPr>
      <w:r w:rsidRPr="00654AE2">
        <w:rPr>
          <w:rFonts w:asciiTheme="minorHAnsi" w:hAnsiTheme="minorHAnsi"/>
        </w:rPr>
        <w:t>94.  Diagnostic evaluation – assessment of tympanic membrane mobility (OME)</w:t>
      </w:r>
    </w:p>
    <w:p w:rsidR="00F24887" w:rsidRPr="00654AE2" w:rsidRDefault="00F24887" w:rsidP="00F24887">
      <w:pPr>
        <w:rPr>
          <w:rFonts w:asciiTheme="minorHAnsi" w:hAnsiTheme="minorHAnsi"/>
        </w:rPr>
      </w:pPr>
    </w:p>
    <w:p w:rsidR="00654AE2" w:rsidRDefault="00654AE2" w:rsidP="00F24887">
      <w:pPr>
        <w:jc w:val="both"/>
        <w:rPr>
          <w:rFonts w:asciiTheme="minorHAnsi" w:hAnsiTheme="minorHAnsi" w:cs="Arial"/>
          <w:b/>
          <w:snapToGrid w:val="0"/>
        </w:rPr>
      </w:pPr>
    </w:p>
    <w:p w:rsidR="00F24887" w:rsidRPr="00D47155" w:rsidRDefault="00F24887" w:rsidP="00F24887">
      <w:pPr>
        <w:jc w:val="both"/>
        <w:rPr>
          <w:rFonts w:asciiTheme="minorHAnsi" w:hAnsiTheme="minorHAnsi" w:cs="Arial"/>
          <w:b/>
          <w:snapToGrid w:val="0"/>
        </w:rPr>
      </w:pPr>
      <w:r w:rsidRPr="00D47155">
        <w:rPr>
          <w:rFonts w:asciiTheme="minorHAnsi" w:hAnsiTheme="minorHAnsi" w:cs="Arial"/>
          <w:b/>
          <w:snapToGrid w:val="0"/>
        </w:rPr>
        <w:t>Conclusion</w:t>
      </w:r>
    </w:p>
    <w:p w:rsidR="00F24887" w:rsidRPr="00D47155" w:rsidRDefault="00F24887" w:rsidP="00F24887">
      <w:pPr>
        <w:jc w:val="both"/>
        <w:rPr>
          <w:rFonts w:asciiTheme="minorHAnsi" w:hAnsiTheme="minorHAnsi" w:cs="Arial"/>
          <w:snapToGrid w:val="0"/>
        </w:rPr>
      </w:pPr>
    </w:p>
    <w:p w:rsidR="00F24887" w:rsidRPr="00D47155" w:rsidRDefault="00F24887" w:rsidP="00F24887">
      <w:pPr>
        <w:jc w:val="both"/>
        <w:rPr>
          <w:rFonts w:asciiTheme="minorHAnsi" w:hAnsiTheme="minorHAnsi" w:cs="Arial"/>
        </w:rPr>
      </w:pPr>
      <w:r w:rsidRPr="00D47155">
        <w:rPr>
          <w:rFonts w:asciiTheme="minorHAnsi" w:hAnsiTheme="minorHAnsi" w:cs="Arial"/>
        </w:rPr>
        <w:t xml:space="preserve">The American Academy of Otolaryngology—Head and Neck Surgery appreciates the opportunity to provide these comments and recommendations of behalf of our members. If you require further information, please contact Udo Kaja, Program Manager, </w:t>
      </w:r>
      <w:proofErr w:type="gramStart"/>
      <w:r w:rsidRPr="00D47155">
        <w:rPr>
          <w:rFonts w:asciiTheme="minorHAnsi" w:hAnsiTheme="minorHAnsi" w:cs="Arial"/>
        </w:rPr>
        <w:t>Health</w:t>
      </w:r>
      <w:proofErr w:type="gramEnd"/>
      <w:r w:rsidRPr="00D47155">
        <w:rPr>
          <w:rFonts w:asciiTheme="minorHAnsi" w:hAnsiTheme="minorHAnsi" w:cs="Arial"/>
        </w:rPr>
        <w:t xml:space="preserve"> Policy by telephone at (703) 535-3727 or through e-mail at </w:t>
      </w:r>
      <w:hyperlink r:id="rId6" w:history="1">
        <w:r w:rsidRPr="00D47155">
          <w:rPr>
            <w:rStyle w:val="Hyperlink"/>
            <w:rFonts w:asciiTheme="minorHAnsi" w:hAnsiTheme="minorHAnsi" w:cs="Arial"/>
          </w:rPr>
          <w:t>Ukaja@entnet.org</w:t>
        </w:r>
      </w:hyperlink>
      <w:r w:rsidRPr="00D47155">
        <w:rPr>
          <w:rFonts w:asciiTheme="minorHAnsi" w:hAnsiTheme="minorHAnsi" w:cs="Arial"/>
        </w:rPr>
        <w:t>.</w:t>
      </w:r>
    </w:p>
    <w:p w:rsidR="00F24887" w:rsidRPr="00D47155" w:rsidRDefault="00F24887" w:rsidP="00F24887">
      <w:pPr>
        <w:jc w:val="both"/>
        <w:rPr>
          <w:rFonts w:asciiTheme="minorHAnsi" w:hAnsiTheme="minorHAnsi" w:cs="Arial"/>
        </w:rPr>
      </w:pPr>
    </w:p>
    <w:p w:rsidR="00F24887" w:rsidRPr="00D47155" w:rsidRDefault="00F24887" w:rsidP="00F24887">
      <w:pPr>
        <w:jc w:val="both"/>
        <w:rPr>
          <w:rFonts w:asciiTheme="minorHAnsi" w:hAnsiTheme="minorHAnsi" w:cs="Arial"/>
        </w:rPr>
      </w:pPr>
    </w:p>
    <w:p w:rsidR="00F24887" w:rsidRPr="00D47155" w:rsidRDefault="00F24887" w:rsidP="00F24887">
      <w:pPr>
        <w:jc w:val="both"/>
        <w:rPr>
          <w:rFonts w:asciiTheme="minorHAnsi" w:hAnsiTheme="minorHAnsi" w:cs="Arial"/>
        </w:rPr>
      </w:pPr>
      <w:r w:rsidRPr="00D47155">
        <w:rPr>
          <w:rFonts w:asciiTheme="minorHAnsi" w:hAnsiTheme="minorHAnsi" w:cs="Arial"/>
        </w:rPr>
        <w:t>Sincerely,</w:t>
      </w:r>
    </w:p>
    <w:p w:rsidR="00F24887" w:rsidRPr="00D47155" w:rsidRDefault="00F24887" w:rsidP="00F24887">
      <w:pPr>
        <w:rPr>
          <w:rFonts w:asciiTheme="minorHAnsi" w:hAnsiTheme="minorHAnsi" w:cs="Arial"/>
        </w:rPr>
      </w:pPr>
    </w:p>
    <w:p w:rsidR="00F24887" w:rsidRPr="00D47155" w:rsidRDefault="00D80871" w:rsidP="00F24887">
      <w:pPr>
        <w:rPr>
          <w:rFonts w:asciiTheme="minorHAnsi" w:hAnsiTheme="minorHAnsi" w:cs="Arial"/>
        </w:rPr>
      </w:pPr>
      <w:r w:rsidRPr="00D80871">
        <w:rPr>
          <w:rFonts w:asciiTheme="minorHAnsi" w:hAnsiTheme="minorHAnsi" w:cs="Arial"/>
          <w:noProof/>
        </w:rPr>
        <w:drawing>
          <wp:inline distT="0" distB="0" distL="0" distR="0">
            <wp:extent cx="2430780" cy="381000"/>
            <wp:effectExtent l="19050" t="0" r="7620" b="0"/>
            <wp:docPr id="3" name="Picture 1" descr="DrNielse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Nielsen_Sig"/>
                    <pic:cNvPicPr>
                      <a:picLocks noChangeAspect="1" noChangeArrowheads="1"/>
                    </pic:cNvPicPr>
                  </pic:nvPicPr>
                  <pic:blipFill>
                    <a:blip r:embed="rId7" cstate="print"/>
                    <a:srcRect/>
                    <a:stretch>
                      <a:fillRect/>
                    </a:stretch>
                  </pic:blipFill>
                  <pic:spPr bwMode="auto">
                    <a:xfrm>
                      <a:off x="0" y="0"/>
                      <a:ext cx="2430780" cy="381000"/>
                    </a:xfrm>
                    <a:prstGeom prst="rect">
                      <a:avLst/>
                    </a:prstGeom>
                    <a:noFill/>
                    <a:ln w="9525">
                      <a:noFill/>
                      <a:miter lim="800000"/>
                      <a:headEnd/>
                      <a:tailEnd/>
                    </a:ln>
                  </pic:spPr>
                </pic:pic>
              </a:graphicData>
            </a:graphic>
          </wp:inline>
        </w:drawing>
      </w:r>
    </w:p>
    <w:p w:rsidR="00F24887" w:rsidRPr="00D47155" w:rsidRDefault="00F24887" w:rsidP="00F24887">
      <w:pPr>
        <w:rPr>
          <w:rFonts w:asciiTheme="minorHAnsi" w:hAnsiTheme="minorHAnsi" w:cs="Arial"/>
        </w:rPr>
      </w:pPr>
    </w:p>
    <w:p w:rsidR="00F24887" w:rsidRPr="00D47155" w:rsidRDefault="00F24887" w:rsidP="00F24887">
      <w:pPr>
        <w:rPr>
          <w:rFonts w:asciiTheme="minorHAnsi" w:hAnsiTheme="minorHAnsi" w:cs="Arial"/>
        </w:rPr>
      </w:pPr>
      <w:r w:rsidRPr="00D47155">
        <w:rPr>
          <w:rFonts w:asciiTheme="minorHAnsi" w:hAnsiTheme="minorHAnsi" w:cs="Arial"/>
        </w:rPr>
        <w:t>David R. Nielsen, MD</w:t>
      </w:r>
    </w:p>
    <w:p w:rsidR="00F24887" w:rsidRPr="00D47155" w:rsidRDefault="00F24887" w:rsidP="00F24887">
      <w:pPr>
        <w:rPr>
          <w:rFonts w:asciiTheme="minorHAnsi" w:hAnsiTheme="minorHAnsi" w:cs="Arial"/>
        </w:rPr>
      </w:pPr>
      <w:r w:rsidRPr="00D47155">
        <w:rPr>
          <w:rFonts w:asciiTheme="minorHAnsi" w:hAnsiTheme="minorHAnsi" w:cs="Arial"/>
        </w:rPr>
        <w:t>Executive Vice President and CEO</w:t>
      </w:r>
    </w:p>
    <w:p w:rsidR="00F24887" w:rsidRPr="00D47155" w:rsidRDefault="00F24887" w:rsidP="00F24887">
      <w:pPr>
        <w:rPr>
          <w:rFonts w:asciiTheme="minorHAnsi" w:hAnsiTheme="minorHAnsi" w:cs="Arial"/>
        </w:rPr>
      </w:pPr>
    </w:p>
    <w:p w:rsidR="00F24887" w:rsidRPr="00D47155" w:rsidRDefault="00F24887" w:rsidP="00F24887">
      <w:pPr>
        <w:rPr>
          <w:rFonts w:asciiTheme="minorHAnsi" w:hAnsiTheme="minorHAnsi"/>
        </w:rPr>
      </w:pPr>
    </w:p>
    <w:p w:rsidR="009C0CAF" w:rsidRDefault="009C0CAF" w:rsidP="00F572AA">
      <w:pPr>
        <w:tabs>
          <w:tab w:val="center" w:pos="5040"/>
        </w:tabs>
      </w:pPr>
    </w:p>
    <w:sectPr w:rsidR="009C0CAF" w:rsidSect="00754E92">
      <w:headerReference w:type="default" r:id="rId8"/>
      <w:footerReference w:type="default" r:id="rId9"/>
      <w:headerReference w:type="first" r:id="rId10"/>
      <w:footerReference w:type="first" r:id="rId11"/>
      <w:pgSz w:w="12240" w:h="15840"/>
      <w:pgMar w:top="2880" w:right="2880" w:bottom="1440" w:left="1080"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9E" w:rsidRDefault="004B609E" w:rsidP="00F572AA">
      <w:r>
        <w:separator/>
      </w:r>
    </w:p>
  </w:endnote>
  <w:endnote w:type="continuationSeparator" w:id="0">
    <w:p w:rsidR="004B609E" w:rsidRDefault="004B609E" w:rsidP="00F572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AA" w:rsidRDefault="00F572AA">
    <w:pPr>
      <w:pStyle w:val="Footer"/>
    </w:pPr>
  </w:p>
  <w:p w:rsidR="00F572AA" w:rsidRDefault="00F572AA">
    <w:pPr>
      <w:pStyle w:val="Footer"/>
    </w:pPr>
    <w:r>
      <w:rPr>
        <w:noProof/>
      </w:rPr>
      <w:drawing>
        <wp:anchor distT="0" distB="0" distL="114300" distR="114300" simplePos="0" relativeHeight="251659264" behindDoc="1" locked="0" layoutInCell="1" allowOverlap="1">
          <wp:simplePos x="0" y="0"/>
          <wp:positionH relativeFrom="column">
            <wp:posOffset>1484918</wp:posOffset>
          </wp:positionH>
          <wp:positionV relativeFrom="paragraph">
            <wp:posOffset>90419</wp:posOffset>
          </wp:positionV>
          <wp:extent cx="5259960" cy="249810"/>
          <wp:effectExtent l="19050" t="0" r="0" b="0"/>
          <wp:wrapNone/>
          <wp:docPr id="2" name="Picture 1" descr="footer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myk.png"/>
                  <pic:cNvPicPr/>
                </pic:nvPicPr>
                <pic:blipFill>
                  <a:blip r:embed="rId1"/>
                  <a:stretch>
                    <a:fillRect/>
                  </a:stretch>
                </pic:blipFill>
                <pic:spPr>
                  <a:xfrm>
                    <a:off x="0" y="0"/>
                    <a:ext cx="5259960" cy="24981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92" w:rsidRDefault="00754E92" w:rsidP="00754E92">
    <w:pPr>
      <w:pStyle w:val="Footer"/>
      <w:tabs>
        <w:tab w:val="clear" w:pos="9360"/>
        <w:tab w:val="right" w:pos="10620"/>
      </w:tabs>
    </w:pPr>
    <w:r>
      <w:rPr>
        <w:noProof/>
      </w:rPr>
      <w:drawing>
        <wp:anchor distT="0" distB="0" distL="114300" distR="114300" simplePos="0" relativeHeight="251663360" behindDoc="1" locked="0" layoutInCell="1" allowOverlap="1">
          <wp:simplePos x="0" y="0"/>
          <wp:positionH relativeFrom="column">
            <wp:posOffset>1476375</wp:posOffset>
          </wp:positionH>
          <wp:positionV relativeFrom="paragraph">
            <wp:posOffset>94297</wp:posOffset>
          </wp:positionV>
          <wp:extent cx="5257800" cy="247650"/>
          <wp:effectExtent l="19050" t="0" r="0" b="0"/>
          <wp:wrapNone/>
          <wp:docPr id="6" name="Picture 5" descr="footer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myk.png"/>
                  <pic:cNvPicPr/>
                </pic:nvPicPr>
                <pic:blipFill>
                  <a:blip r:embed="rId1"/>
                  <a:stretch>
                    <a:fillRect/>
                  </a:stretch>
                </pic:blipFill>
                <pic:spPr>
                  <a:xfrm>
                    <a:off x="0" y="0"/>
                    <a:ext cx="5257800" cy="2476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9E" w:rsidRDefault="004B609E" w:rsidP="00F572AA">
      <w:r>
        <w:separator/>
      </w:r>
    </w:p>
  </w:footnote>
  <w:footnote w:type="continuationSeparator" w:id="0">
    <w:p w:rsidR="004B609E" w:rsidRDefault="004B609E" w:rsidP="00F57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AA" w:rsidRDefault="00F572AA" w:rsidP="00F572AA">
    <w:pPr>
      <w:pStyle w:val="Header"/>
      <w:tabs>
        <w:tab w:val="clear" w:pos="4680"/>
        <w:tab w:val="clear" w:pos="9360"/>
        <w:tab w:val="center" w:pos="5040"/>
      </w:tabs>
    </w:pPr>
    <w:r>
      <w:tab/>
    </w:r>
  </w:p>
  <w:p w:rsidR="00F572AA" w:rsidRDefault="00F572AA" w:rsidP="00F572AA">
    <w:pPr>
      <w:pStyle w:val="Header"/>
      <w:tabs>
        <w:tab w:val="clear" w:pos="4680"/>
        <w:tab w:val="clear" w:pos="9360"/>
      </w:tabs>
    </w:pPr>
    <w:r>
      <w:rPr>
        <w:noProof/>
      </w:rPr>
      <w:drawing>
        <wp:anchor distT="0" distB="0" distL="114300" distR="114300" simplePos="0" relativeHeight="251658240" behindDoc="1" locked="0" layoutInCell="1" allowOverlap="1">
          <wp:simplePos x="0" y="0"/>
          <wp:positionH relativeFrom="column">
            <wp:posOffset>1948988</wp:posOffset>
          </wp:positionH>
          <wp:positionV relativeFrom="paragraph">
            <wp:posOffset>184958</wp:posOffset>
          </wp:positionV>
          <wp:extent cx="2496936" cy="648393"/>
          <wp:effectExtent l="19050" t="0" r="0" b="0"/>
          <wp:wrapNone/>
          <wp:docPr id="1" name="Picture 0" descr="logo header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 Academy.png"/>
                  <pic:cNvPicPr/>
                </pic:nvPicPr>
                <pic:blipFill>
                  <a:blip r:embed="rId1"/>
                  <a:stretch>
                    <a:fillRect/>
                  </a:stretch>
                </pic:blipFill>
                <pic:spPr>
                  <a:xfrm>
                    <a:off x="0" y="0"/>
                    <a:ext cx="2496936" cy="64839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92" w:rsidRDefault="00754E92" w:rsidP="00754E92">
    <w:pPr>
      <w:pStyle w:val="Header"/>
      <w:tabs>
        <w:tab w:val="clear" w:pos="4680"/>
        <w:tab w:val="clear" w:pos="9360"/>
        <w:tab w:val="center" w:pos="5040"/>
        <w:tab w:val="right" w:pos="10620"/>
      </w:tabs>
    </w:pPr>
    <w:r>
      <w:rPr>
        <w:noProof/>
      </w:rPr>
      <w:drawing>
        <wp:anchor distT="0" distB="0" distL="114300" distR="114300" simplePos="0" relativeHeight="251662336" behindDoc="1" locked="0" layoutInCell="1" allowOverlap="1">
          <wp:simplePos x="0" y="0"/>
          <wp:positionH relativeFrom="column">
            <wp:posOffset>1952625</wp:posOffset>
          </wp:positionH>
          <wp:positionV relativeFrom="paragraph">
            <wp:posOffset>342900</wp:posOffset>
          </wp:positionV>
          <wp:extent cx="2487295" cy="647700"/>
          <wp:effectExtent l="19050" t="0" r="8255" b="0"/>
          <wp:wrapNone/>
          <wp:docPr id="5" name="Picture 4" descr="logo header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 Academy.png"/>
                  <pic:cNvPicPr/>
                </pic:nvPicPr>
                <pic:blipFill>
                  <a:blip r:embed="rId1"/>
                  <a:stretch>
                    <a:fillRect/>
                  </a:stretch>
                </pic:blipFill>
                <pic:spPr>
                  <a:xfrm>
                    <a:off x="0" y="0"/>
                    <a:ext cx="2487295" cy="647700"/>
                  </a:xfrm>
                  <a:prstGeom prst="rect">
                    <a:avLst/>
                  </a:prstGeom>
                </pic:spPr>
              </pic:pic>
            </a:graphicData>
          </a:graphic>
        </wp:anchor>
      </w:drawing>
    </w:r>
    <w:r w:rsidRPr="00754E92">
      <w:rPr>
        <w:noProof/>
      </w:rPr>
      <w:drawing>
        <wp:anchor distT="0" distB="0" distL="114300" distR="114300" simplePos="0" relativeHeight="251661312" behindDoc="1" locked="0" layoutInCell="1" allowOverlap="1">
          <wp:simplePos x="0" y="0"/>
          <wp:positionH relativeFrom="column">
            <wp:posOffset>5419725</wp:posOffset>
          </wp:positionH>
          <wp:positionV relativeFrom="paragraph">
            <wp:posOffset>1847850</wp:posOffset>
          </wp:positionV>
          <wp:extent cx="1314450" cy="6457950"/>
          <wp:effectExtent l="19050" t="0" r="0" b="0"/>
          <wp:wrapSquare wrapText="left"/>
          <wp:docPr id="4" name="Picture 2" descr="side bar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 bar Academy.png"/>
                  <pic:cNvPicPr/>
                </pic:nvPicPr>
                <pic:blipFill>
                  <a:blip r:embed="rId2" cstate="print"/>
                  <a:stretch>
                    <a:fillRect/>
                  </a:stretch>
                </pic:blipFill>
                <pic:spPr>
                  <a:xfrm>
                    <a:off x="0" y="0"/>
                    <a:ext cx="1318431" cy="646221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6F0876"/>
    <w:rsid w:val="000055FD"/>
    <w:rsid w:val="000912E9"/>
    <w:rsid w:val="000B209B"/>
    <w:rsid w:val="000D7D81"/>
    <w:rsid w:val="001E6902"/>
    <w:rsid w:val="00213ECE"/>
    <w:rsid w:val="00250048"/>
    <w:rsid w:val="0028006C"/>
    <w:rsid w:val="002F0A32"/>
    <w:rsid w:val="002F572E"/>
    <w:rsid w:val="004321C7"/>
    <w:rsid w:val="00443240"/>
    <w:rsid w:val="004B35D0"/>
    <w:rsid w:val="004B609E"/>
    <w:rsid w:val="004C2137"/>
    <w:rsid w:val="00637C25"/>
    <w:rsid w:val="00654AE2"/>
    <w:rsid w:val="006A27A4"/>
    <w:rsid w:val="006F0876"/>
    <w:rsid w:val="006F5675"/>
    <w:rsid w:val="006F7A8A"/>
    <w:rsid w:val="00753D8B"/>
    <w:rsid w:val="00754E92"/>
    <w:rsid w:val="00796B84"/>
    <w:rsid w:val="0079794D"/>
    <w:rsid w:val="007D6204"/>
    <w:rsid w:val="00802413"/>
    <w:rsid w:val="0088779F"/>
    <w:rsid w:val="009073F3"/>
    <w:rsid w:val="00985383"/>
    <w:rsid w:val="009C0CAF"/>
    <w:rsid w:val="009D63F4"/>
    <w:rsid w:val="00A61F40"/>
    <w:rsid w:val="00AC3922"/>
    <w:rsid w:val="00B065B1"/>
    <w:rsid w:val="00B74080"/>
    <w:rsid w:val="00BC1A67"/>
    <w:rsid w:val="00BE2644"/>
    <w:rsid w:val="00C20172"/>
    <w:rsid w:val="00C31000"/>
    <w:rsid w:val="00CD0C88"/>
    <w:rsid w:val="00CE0E3A"/>
    <w:rsid w:val="00D22831"/>
    <w:rsid w:val="00D314FA"/>
    <w:rsid w:val="00D52458"/>
    <w:rsid w:val="00D65413"/>
    <w:rsid w:val="00D80871"/>
    <w:rsid w:val="00D94F8B"/>
    <w:rsid w:val="00DD72A6"/>
    <w:rsid w:val="00DF19C8"/>
    <w:rsid w:val="00E06547"/>
    <w:rsid w:val="00E81DC4"/>
    <w:rsid w:val="00F24887"/>
    <w:rsid w:val="00F572AA"/>
    <w:rsid w:val="00F63F72"/>
    <w:rsid w:val="00FA4B03"/>
    <w:rsid w:val="00FD530D"/>
    <w:rsid w:val="00FF5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8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B209B"/>
    <w:pPr>
      <w:keepNext/>
      <w:tabs>
        <w:tab w:val="left" w:pos="360"/>
      </w:tabs>
      <w:spacing w:before="240" w:after="60"/>
      <w:outlineLvl w:val="0"/>
    </w:pPr>
    <w:rPr>
      <w:rFonts w:cs="Arial"/>
      <w:b/>
      <w:bCs/>
      <w:kern w:val="32"/>
      <w:sz w:val="32"/>
      <w:szCs w:val="32"/>
    </w:rPr>
  </w:style>
  <w:style w:type="paragraph" w:styleId="Heading2">
    <w:name w:val="heading 2"/>
    <w:basedOn w:val="Normal"/>
    <w:next w:val="Normal"/>
    <w:link w:val="Heading2Char"/>
    <w:qFormat/>
    <w:rsid w:val="000B209B"/>
    <w:pPr>
      <w:keepNext/>
      <w:tabs>
        <w:tab w:val="left" w:pos="360"/>
      </w:tabs>
      <w:spacing w:before="240" w:after="60"/>
      <w:outlineLvl w:val="1"/>
    </w:pPr>
    <w:rPr>
      <w:rFonts w:cs="Arial"/>
      <w:b/>
      <w:bCs/>
      <w:i/>
      <w:iCs/>
      <w:sz w:val="28"/>
      <w:szCs w:val="28"/>
    </w:rPr>
  </w:style>
  <w:style w:type="paragraph" w:styleId="Heading3">
    <w:name w:val="heading 3"/>
    <w:basedOn w:val="Normal"/>
    <w:next w:val="Normal"/>
    <w:link w:val="Heading3Char"/>
    <w:qFormat/>
    <w:rsid w:val="000B209B"/>
    <w:pPr>
      <w:keepNext/>
      <w:tabs>
        <w:tab w:val="left" w:pos="360"/>
      </w:tabs>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09B"/>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0B209B"/>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0B209B"/>
    <w:rPr>
      <w:rFonts w:ascii="Times New Roman" w:eastAsia="Times New Roman" w:hAnsi="Times New Roman" w:cs="Arial"/>
      <w:b/>
      <w:bCs/>
      <w:sz w:val="24"/>
      <w:szCs w:val="26"/>
    </w:rPr>
  </w:style>
  <w:style w:type="paragraph" w:styleId="Header">
    <w:name w:val="header"/>
    <w:basedOn w:val="Normal"/>
    <w:link w:val="HeaderChar"/>
    <w:uiPriority w:val="99"/>
    <w:unhideWhenUsed/>
    <w:rsid w:val="00F572AA"/>
    <w:pPr>
      <w:tabs>
        <w:tab w:val="center" w:pos="4680"/>
        <w:tab w:val="right" w:pos="9360"/>
      </w:tabs>
    </w:pPr>
  </w:style>
  <w:style w:type="character" w:customStyle="1" w:styleId="HeaderChar">
    <w:name w:val="Header Char"/>
    <w:basedOn w:val="DefaultParagraphFont"/>
    <w:link w:val="Header"/>
    <w:uiPriority w:val="99"/>
    <w:rsid w:val="00F572AA"/>
    <w:rPr>
      <w:rFonts w:ascii="Times New Roman" w:hAnsi="Times New Roman" w:cs="Times New Roman"/>
      <w:sz w:val="24"/>
      <w:szCs w:val="24"/>
    </w:rPr>
  </w:style>
  <w:style w:type="paragraph" w:styleId="Footer">
    <w:name w:val="footer"/>
    <w:basedOn w:val="Normal"/>
    <w:link w:val="FooterChar"/>
    <w:uiPriority w:val="99"/>
    <w:unhideWhenUsed/>
    <w:rsid w:val="00F572AA"/>
    <w:pPr>
      <w:tabs>
        <w:tab w:val="center" w:pos="4680"/>
        <w:tab w:val="right" w:pos="9360"/>
      </w:tabs>
    </w:pPr>
  </w:style>
  <w:style w:type="character" w:customStyle="1" w:styleId="FooterChar">
    <w:name w:val="Footer Char"/>
    <w:basedOn w:val="DefaultParagraphFont"/>
    <w:link w:val="Footer"/>
    <w:uiPriority w:val="99"/>
    <w:rsid w:val="00F572A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572AA"/>
    <w:pPr>
      <w:tabs>
        <w:tab w:val="left" w:pos="360"/>
      </w:tabs>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2AA"/>
    <w:rPr>
      <w:rFonts w:ascii="Tahoma" w:hAnsi="Tahoma" w:cs="Tahoma"/>
      <w:sz w:val="16"/>
      <w:szCs w:val="16"/>
    </w:rPr>
  </w:style>
  <w:style w:type="paragraph" w:styleId="NormalWeb">
    <w:name w:val="Normal (Web)"/>
    <w:basedOn w:val="Normal"/>
    <w:uiPriority w:val="99"/>
    <w:semiHidden/>
    <w:unhideWhenUsed/>
    <w:rsid w:val="00213ECE"/>
    <w:pPr>
      <w:spacing w:after="210" w:line="210" w:lineRule="atLeast"/>
      <w:jc w:val="both"/>
    </w:pPr>
    <w:rPr>
      <w:sz w:val="17"/>
      <w:szCs w:val="17"/>
    </w:rPr>
  </w:style>
  <w:style w:type="character" w:styleId="Hyperlink">
    <w:name w:val="Hyperlink"/>
    <w:basedOn w:val="DefaultParagraphFont"/>
    <w:rsid w:val="00F24887"/>
    <w:rPr>
      <w:color w:val="0000FF" w:themeColor="hyperlink"/>
      <w:u w:val="single"/>
    </w:rPr>
  </w:style>
  <w:style w:type="character" w:styleId="CommentReference">
    <w:name w:val="annotation reference"/>
    <w:basedOn w:val="DefaultParagraphFont"/>
    <w:uiPriority w:val="99"/>
    <w:semiHidden/>
    <w:unhideWhenUsed/>
    <w:rsid w:val="00FA4B03"/>
    <w:rPr>
      <w:sz w:val="16"/>
      <w:szCs w:val="16"/>
    </w:rPr>
  </w:style>
  <w:style w:type="paragraph" w:styleId="CommentText">
    <w:name w:val="annotation text"/>
    <w:basedOn w:val="Normal"/>
    <w:link w:val="CommentTextChar"/>
    <w:uiPriority w:val="99"/>
    <w:semiHidden/>
    <w:unhideWhenUsed/>
    <w:rsid w:val="00FA4B03"/>
    <w:rPr>
      <w:sz w:val="20"/>
      <w:szCs w:val="20"/>
    </w:rPr>
  </w:style>
  <w:style w:type="character" w:customStyle="1" w:styleId="CommentTextChar">
    <w:name w:val="Comment Text Char"/>
    <w:basedOn w:val="DefaultParagraphFont"/>
    <w:link w:val="CommentText"/>
    <w:uiPriority w:val="99"/>
    <w:semiHidden/>
    <w:rsid w:val="00FA4B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4B03"/>
    <w:rPr>
      <w:b/>
      <w:bCs/>
    </w:rPr>
  </w:style>
  <w:style w:type="character" w:customStyle="1" w:styleId="CommentSubjectChar">
    <w:name w:val="Comment Subject Char"/>
    <w:basedOn w:val="CommentTextChar"/>
    <w:link w:val="CommentSubject"/>
    <w:uiPriority w:val="99"/>
    <w:semiHidden/>
    <w:rsid w:val="00FA4B03"/>
    <w:rPr>
      <w:b/>
      <w:bCs/>
    </w:rPr>
  </w:style>
  <w:style w:type="paragraph" w:styleId="Revision">
    <w:name w:val="Revision"/>
    <w:hidden/>
    <w:uiPriority w:val="99"/>
    <w:semiHidden/>
    <w:rsid w:val="00D22831"/>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aja@entnet.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head\2009-2010%20Academy&amp;Foundation\2009-2010%20Academ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2009-2010 Academy Letterhead.dotx</Template>
  <TotalTime>4</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American Academy of Otolaryngology</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Udo</dc:creator>
  <cp:keywords/>
  <dc:description/>
  <cp:lastModifiedBy>Kaja, Udo</cp:lastModifiedBy>
  <cp:revision>3</cp:revision>
  <cp:lastPrinted>2009-11-11T16:45:00Z</cp:lastPrinted>
  <dcterms:created xsi:type="dcterms:W3CDTF">2010-03-10T20:55:00Z</dcterms:created>
  <dcterms:modified xsi:type="dcterms:W3CDTF">2010-03-12T15:49:00Z</dcterms:modified>
</cp:coreProperties>
</file>