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59880" w14:textId="77777777" w:rsidR="002B3460" w:rsidRPr="002B3460" w:rsidRDefault="002B3460" w:rsidP="002B3460">
      <w:pPr>
        <w:shd w:val="clear" w:color="auto" w:fill="FFFFFF"/>
        <w:spacing w:before="100" w:beforeAutospacing="1" w:after="100" w:afterAutospacing="1" w:line="240" w:lineRule="auto"/>
        <w:outlineLvl w:val="0"/>
        <w:rPr>
          <w:rFonts w:ascii="Montserrat" w:eastAsia="Times New Roman" w:hAnsi="Montserrat" w:cs="Times New Roman"/>
          <w:color w:val="222328"/>
          <w:kern w:val="36"/>
          <w:sz w:val="60"/>
          <w:szCs w:val="60"/>
        </w:rPr>
      </w:pPr>
      <w:r w:rsidRPr="002B3460">
        <w:rPr>
          <w:rFonts w:ascii="Montserrat" w:eastAsia="Times New Roman" w:hAnsi="Montserrat" w:cs="Times New Roman"/>
          <w:color w:val="222328"/>
          <w:kern w:val="36"/>
          <w:sz w:val="60"/>
          <w:szCs w:val="60"/>
        </w:rPr>
        <w:t>Board of Governors (BOG): Engaging, Building New Connections, and Advancing the Specialty</w:t>
      </w:r>
    </w:p>
    <w:p w14:paraId="0078619D" w14:textId="77777777" w:rsidR="002B3460" w:rsidRPr="002B3460" w:rsidRDefault="002B3460" w:rsidP="002B3460">
      <w:pPr>
        <w:shd w:val="clear" w:color="auto" w:fill="FFFFFF"/>
        <w:spacing w:before="100" w:beforeAutospacing="1" w:after="100" w:afterAutospacing="1" w:line="240" w:lineRule="auto"/>
        <w:rPr>
          <w:rFonts w:ascii="Montserrat" w:eastAsia="Times New Roman" w:hAnsi="Montserrat" w:cs="Times New Roman"/>
          <w:color w:val="6D6E71"/>
          <w:sz w:val="33"/>
          <w:szCs w:val="33"/>
        </w:rPr>
      </w:pPr>
      <w:r w:rsidRPr="002B3460">
        <w:rPr>
          <w:rFonts w:ascii="Montserrat" w:eastAsia="Times New Roman" w:hAnsi="Montserrat" w:cs="Times New Roman"/>
          <w:color w:val="6D6E71"/>
          <w:sz w:val="33"/>
          <w:szCs w:val="33"/>
        </w:rPr>
        <w:t>Lance A. Manning, MD, Immediate Past Chair, BOG, reflects on his former role as the 39th Board of Governors (BOG) Chair.</w:t>
      </w:r>
    </w:p>
    <w:p w14:paraId="254561DC" w14:textId="77777777" w:rsidR="002B3460" w:rsidRPr="002B3460" w:rsidRDefault="002B3460" w:rsidP="002B3460">
      <w:pPr>
        <w:shd w:val="clear" w:color="auto" w:fill="FFFFFF"/>
        <w:spacing w:after="0" w:line="240" w:lineRule="auto"/>
        <w:rPr>
          <w:rFonts w:ascii="Montserrat" w:eastAsia="Times New Roman" w:hAnsi="Montserrat" w:cs="Times New Roman"/>
          <w:color w:val="222328"/>
          <w:sz w:val="24"/>
          <w:szCs w:val="24"/>
        </w:rPr>
      </w:pPr>
      <w:r w:rsidRPr="002B3460">
        <w:rPr>
          <w:rFonts w:ascii="Montserrat" w:eastAsia="Times New Roman" w:hAnsi="Montserrat" w:cs="Times New Roman"/>
          <w:color w:val="222328"/>
          <w:sz w:val="24"/>
          <w:szCs w:val="24"/>
        </w:rPr>
        <w:pict w14:anchorId="16D5FE48">
          <v:rect id="_x0000_i1025" style="width:0;height:0" o:hralign="center" o:hrstd="t" o:hr="t" fillcolor="#a0a0a0" stroked="f"/>
        </w:pict>
      </w:r>
    </w:p>
    <w:p w14:paraId="71C7F3A3" w14:textId="489C8800" w:rsidR="002B3460" w:rsidRPr="002B3460" w:rsidRDefault="002B3460" w:rsidP="002B3460">
      <w:pPr>
        <w:shd w:val="clear" w:color="auto" w:fill="FFFFFF"/>
        <w:spacing w:after="100" w:afterAutospacing="1" w:line="240" w:lineRule="auto"/>
        <w:rPr>
          <w:rFonts w:ascii="Montserrat" w:eastAsia="Times New Roman" w:hAnsi="Montserrat" w:cs="Times New Roman"/>
          <w:color w:val="222328"/>
          <w:sz w:val="26"/>
          <w:szCs w:val="26"/>
        </w:rPr>
      </w:pPr>
      <w:r w:rsidRPr="002B3460">
        <w:rPr>
          <w:rFonts w:ascii="Montserrat" w:eastAsia="Times New Roman" w:hAnsi="Montserrat" w:cs="Times New Roman"/>
          <w:b/>
          <w:bCs/>
          <w:color w:val="222328"/>
          <w:sz w:val="26"/>
          <w:szCs w:val="26"/>
        </w:rPr>
        <w:t>Lance A. Manning, MD</w:t>
      </w:r>
      <w:r w:rsidRPr="002B3460">
        <w:rPr>
          <w:rFonts w:ascii="Montserrat" w:eastAsia="Times New Roman" w:hAnsi="Montserrat" w:cs="Times New Roman"/>
          <w:color w:val="222328"/>
          <w:sz w:val="26"/>
          <w:szCs w:val="26"/>
        </w:rPr>
        <w:t xml:space="preserve">, </w:t>
      </w:r>
      <w:r>
        <w:rPr>
          <w:rFonts w:ascii="Montserrat" w:eastAsia="Times New Roman" w:hAnsi="Montserrat" w:cs="Times New Roman"/>
          <w:color w:val="222328"/>
          <w:sz w:val="26"/>
          <w:szCs w:val="26"/>
        </w:rPr>
        <w:t xml:space="preserve">2020-2021 </w:t>
      </w:r>
      <w:r w:rsidRPr="002B3460">
        <w:rPr>
          <w:rFonts w:ascii="Montserrat" w:eastAsia="Times New Roman" w:hAnsi="Montserrat" w:cs="Times New Roman"/>
          <w:color w:val="222328"/>
          <w:sz w:val="26"/>
          <w:szCs w:val="26"/>
        </w:rPr>
        <w:t>BOG</w:t>
      </w:r>
      <w:r>
        <w:rPr>
          <w:rFonts w:ascii="Montserrat" w:eastAsia="Times New Roman" w:hAnsi="Montserrat" w:cs="Times New Roman"/>
          <w:color w:val="222328"/>
          <w:sz w:val="26"/>
          <w:szCs w:val="26"/>
        </w:rPr>
        <w:t xml:space="preserve"> Chair</w:t>
      </w:r>
    </w:p>
    <w:p w14:paraId="1EDA9AD5" w14:textId="77777777" w:rsidR="002B3460" w:rsidRPr="002B3460" w:rsidRDefault="002B3460" w:rsidP="002B3460">
      <w:pPr>
        <w:shd w:val="clear" w:color="auto" w:fill="FFFFFF"/>
        <w:spacing w:after="0" w:line="240" w:lineRule="auto"/>
        <w:rPr>
          <w:rFonts w:ascii="Montserrat" w:eastAsia="Times New Roman" w:hAnsi="Montserrat" w:cs="Times New Roman"/>
          <w:color w:val="222328"/>
          <w:sz w:val="26"/>
          <w:szCs w:val="26"/>
        </w:rPr>
      </w:pPr>
      <w:r w:rsidRPr="002B3460">
        <w:rPr>
          <w:rFonts w:ascii="Montserrat" w:eastAsia="Times New Roman" w:hAnsi="Montserrat" w:cs="Times New Roman"/>
          <w:color w:val="222328"/>
          <w:sz w:val="26"/>
          <w:szCs w:val="26"/>
        </w:rPr>
        <w:pict w14:anchorId="2A88D0F9">
          <v:rect id="_x0000_i1026" style="width:0;height:0" o:hralign="center" o:hrstd="t" o:hr="t" fillcolor="#a0a0a0" stroked="f"/>
        </w:pict>
      </w:r>
    </w:p>
    <w:p w14:paraId="43729ABF" w14:textId="640725A2" w:rsidR="002B3460" w:rsidRPr="002B3460" w:rsidRDefault="002B3460" w:rsidP="002B3460">
      <w:pPr>
        <w:shd w:val="clear" w:color="auto" w:fill="FFFFFF"/>
        <w:spacing w:after="100" w:afterAutospacing="1" w:line="240" w:lineRule="auto"/>
        <w:rPr>
          <w:rFonts w:ascii="Montserrat" w:eastAsia="Times New Roman" w:hAnsi="Montserrat" w:cs="Times New Roman"/>
          <w:color w:val="222328"/>
          <w:sz w:val="26"/>
          <w:szCs w:val="26"/>
        </w:rPr>
      </w:pPr>
      <w:r w:rsidRPr="002B3460">
        <w:rPr>
          <w:rFonts w:ascii="Montserrat" w:eastAsia="Times New Roman" w:hAnsi="Montserrat" w:cs="Times New Roman"/>
          <w:color w:val="222328"/>
          <w:sz w:val="26"/>
          <w:szCs w:val="26"/>
        </w:rPr>
        <w:t>Following the conclusion of my term as the 39th Board of Governors (BOG) Chair, I wanted to take a few moments to express my gratitude for the opportunity to serve as Chair and work alongside the members of the BOG Executive Council and the BOG Committees. As COVID-19 continued, we never let the pandemic interrupt the fine work of the BOG. We found new ways to engage, built new connections, and continued to advance the specialty.</w:t>
      </w:r>
    </w:p>
    <w:p w14:paraId="1EA76229" w14:textId="77777777" w:rsidR="002B3460" w:rsidRPr="002B3460" w:rsidRDefault="002B3460" w:rsidP="002B3460">
      <w:pPr>
        <w:shd w:val="clear" w:color="auto" w:fill="FFFFFF"/>
        <w:spacing w:after="100" w:afterAutospacing="1" w:line="240" w:lineRule="auto"/>
        <w:rPr>
          <w:rFonts w:ascii="Montserrat" w:eastAsia="Times New Roman" w:hAnsi="Montserrat" w:cs="Times New Roman"/>
          <w:color w:val="222328"/>
          <w:sz w:val="26"/>
          <w:szCs w:val="26"/>
        </w:rPr>
      </w:pPr>
      <w:r w:rsidRPr="002B3460">
        <w:rPr>
          <w:rFonts w:ascii="Montserrat" w:eastAsia="Times New Roman" w:hAnsi="Montserrat" w:cs="Times New Roman"/>
          <w:color w:val="222328"/>
          <w:sz w:val="26"/>
          <w:szCs w:val="26"/>
        </w:rPr>
        <w:t>Here are some of the significant accomplishments over the last year.</w:t>
      </w:r>
    </w:p>
    <w:p w14:paraId="166D9165" w14:textId="36A32207" w:rsidR="002B3460" w:rsidRPr="002B3460" w:rsidRDefault="002B3460" w:rsidP="002B3460">
      <w:pPr>
        <w:shd w:val="clear" w:color="auto" w:fill="FFFFFF"/>
        <w:spacing w:after="0" w:afterAutospacing="1" w:line="240" w:lineRule="auto"/>
        <w:rPr>
          <w:rFonts w:ascii="Montserrat" w:eastAsia="Times New Roman" w:hAnsi="Montserrat" w:cs="Times New Roman"/>
          <w:color w:val="222328"/>
          <w:sz w:val="26"/>
          <w:szCs w:val="26"/>
        </w:rPr>
      </w:pPr>
      <w:r w:rsidRPr="002B3460">
        <w:rPr>
          <w:rFonts w:ascii="Montserrat" w:eastAsia="Times New Roman" w:hAnsi="Montserrat" w:cs="Times New Roman"/>
          <w:b/>
          <w:bCs/>
          <w:color w:val="222328"/>
          <w:sz w:val="26"/>
          <w:szCs w:val="26"/>
        </w:rPr>
        <w:t>Outreach and Engagement with ASCENT. </w:t>
      </w:r>
      <w:r w:rsidRPr="002B3460">
        <w:rPr>
          <w:rFonts w:ascii="Montserrat" w:eastAsia="Times New Roman" w:hAnsi="Montserrat" w:cs="Times New Roman"/>
          <w:color w:val="222328"/>
          <w:sz w:val="26"/>
          <w:szCs w:val="26"/>
        </w:rPr>
        <w:t>For the past couple of years, AAO-HNS/F has partnered with ASCENT (Administrator Support Community for ENT) on collaborative membership marketing activities. BOG initiated engagement conversations with ASCENT leadership around payment and coding policy and advocacy efforts. So much learning and resource sharing can take place from both sides. Collaboration and continuing dialogue between both organizations are vital, especially to Academy members working in private practice. </w:t>
      </w:r>
    </w:p>
    <w:p w14:paraId="046F82A6" w14:textId="77777777" w:rsidR="002B3460" w:rsidRPr="002B3460" w:rsidRDefault="002B3460" w:rsidP="002B3460">
      <w:pPr>
        <w:shd w:val="clear" w:color="auto" w:fill="FFFFFF"/>
        <w:spacing w:after="100" w:afterAutospacing="1" w:line="240" w:lineRule="auto"/>
        <w:rPr>
          <w:rFonts w:ascii="Montserrat" w:eastAsia="Times New Roman" w:hAnsi="Montserrat" w:cs="Times New Roman"/>
          <w:color w:val="222328"/>
          <w:sz w:val="26"/>
          <w:szCs w:val="26"/>
        </w:rPr>
      </w:pPr>
      <w:r w:rsidRPr="002B3460">
        <w:rPr>
          <w:rFonts w:ascii="Montserrat" w:eastAsia="Times New Roman" w:hAnsi="Montserrat" w:cs="Times New Roman"/>
          <w:b/>
          <w:bCs/>
          <w:color w:val="222328"/>
          <w:sz w:val="26"/>
          <w:szCs w:val="26"/>
        </w:rPr>
        <w:t>Virtual Leadership Forum &amp; BOG Spring Meeting. </w:t>
      </w:r>
      <w:r w:rsidRPr="002B3460">
        <w:rPr>
          <w:rFonts w:ascii="Montserrat" w:eastAsia="Times New Roman" w:hAnsi="Montserrat" w:cs="Times New Roman"/>
          <w:color w:val="222328"/>
          <w:sz w:val="26"/>
          <w:szCs w:val="26"/>
        </w:rPr>
        <w:t xml:space="preserve">The Zoom AAO-HNS/F Virtual Leadership Forum &amp; BOG Spring Meeting took place on April 17, 2021, with 210 participants. The conference featured sessions on </w:t>
      </w:r>
      <w:r w:rsidRPr="002B3460">
        <w:rPr>
          <w:rFonts w:ascii="Montserrat" w:eastAsia="Times New Roman" w:hAnsi="Montserrat" w:cs="Times New Roman"/>
          <w:color w:val="222328"/>
          <w:sz w:val="26"/>
          <w:szCs w:val="26"/>
        </w:rPr>
        <w:lastRenderedPageBreak/>
        <w:t xml:space="preserve">a wide breadth of advocacy and policy issues, a futuristic view of healthcare economics, analysis of the business of medicine, as well as learning training and best practices. The presenters were a prominent lineup of healthcare and healthcare economics luminaries, including entrepreneur Mark Cuban; Wendell Primus, the senior policy advisor on budget and health for Speaker Nancy Pelosi; Congressman Larry </w:t>
      </w:r>
      <w:proofErr w:type="spellStart"/>
      <w:r w:rsidRPr="002B3460">
        <w:rPr>
          <w:rFonts w:ascii="Montserrat" w:eastAsia="Times New Roman" w:hAnsi="Montserrat" w:cs="Times New Roman"/>
          <w:color w:val="222328"/>
          <w:sz w:val="26"/>
          <w:szCs w:val="26"/>
        </w:rPr>
        <w:t>Buchson</w:t>
      </w:r>
      <w:proofErr w:type="spellEnd"/>
      <w:r w:rsidRPr="002B3460">
        <w:rPr>
          <w:rFonts w:ascii="Montserrat" w:eastAsia="Times New Roman" w:hAnsi="Montserrat" w:cs="Times New Roman"/>
          <w:color w:val="222328"/>
          <w:sz w:val="26"/>
          <w:szCs w:val="26"/>
        </w:rPr>
        <w:t>, MD (R-IN); diversity and organizational change expert Gabrielle Felder; and then president of the American Medical Association, Susan Bailey, MD. The conference participants rated the conference as 82% favorable or very favorable. </w:t>
      </w:r>
    </w:p>
    <w:p w14:paraId="44F3BB33" w14:textId="77777777" w:rsidR="002B3460" w:rsidRPr="002B3460" w:rsidRDefault="002B3460" w:rsidP="002B3460">
      <w:pPr>
        <w:shd w:val="clear" w:color="auto" w:fill="FFFFFF"/>
        <w:spacing w:after="100" w:afterAutospacing="1" w:line="240" w:lineRule="auto"/>
        <w:rPr>
          <w:rFonts w:ascii="Montserrat" w:eastAsia="Times New Roman" w:hAnsi="Montserrat" w:cs="Times New Roman"/>
          <w:color w:val="222328"/>
          <w:sz w:val="26"/>
          <w:szCs w:val="26"/>
        </w:rPr>
      </w:pPr>
      <w:proofErr w:type="gramStart"/>
      <w:r w:rsidRPr="002B3460">
        <w:rPr>
          <w:rFonts w:ascii="Montserrat" w:eastAsia="Times New Roman" w:hAnsi="Montserrat" w:cs="Times New Roman"/>
          <w:color w:val="222328"/>
          <w:sz w:val="26"/>
          <w:szCs w:val="26"/>
        </w:rPr>
        <w:t>At this time</w:t>
      </w:r>
      <w:proofErr w:type="gramEnd"/>
      <w:r w:rsidRPr="002B3460">
        <w:rPr>
          <w:rFonts w:ascii="Montserrat" w:eastAsia="Times New Roman" w:hAnsi="Montserrat" w:cs="Times New Roman"/>
          <w:color w:val="222328"/>
          <w:sz w:val="26"/>
          <w:szCs w:val="26"/>
        </w:rPr>
        <w:t>, we are planning for the AAO-HNS/F 2022 Leadership Forum &amp; BOG Spring Meeting to be in person at the Westin, Alexandria, Virginia, April 8-10, 2022. It is expected that Capitol Hill Day will be part of the activities. </w:t>
      </w:r>
    </w:p>
    <w:p w14:paraId="55616366" w14:textId="77777777" w:rsidR="002B3460" w:rsidRPr="002B3460" w:rsidRDefault="002B3460" w:rsidP="002B3460">
      <w:pPr>
        <w:shd w:val="clear" w:color="auto" w:fill="FFFFFF"/>
        <w:spacing w:after="100" w:afterAutospacing="1" w:line="240" w:lineRule="auto"/>
        <w:rPr>
          <w:rFonts w:ascii="Montserrat" w:eastAsia="Times New Roman" w:hAnsi="Montserrat" w:cs="Times New Roman"/>
          <w:color w:val="222328"/>
          <w:sz w:val="26"/>
          <w:szCs w:val="26"/>
        </w:rPr>
      </w:pPr>
      <w:r w:rsidRPr="002B3460">
        <w:rPr>
          <w:rFonts w:ascii="Montserrat" w:eastAsia="Times New Roman" w:hAnsi="Montserrat" w:cs="Times New Roman"/>
          <w:b/>
          <w:bCs/>
          <w:color w:val="222328"/>
          <w:sz w:val="26"/>
          <w:szCs w:val="26"/>
        </w:rPr>
        <w:t>Society Management Tool Kit. </w:t>
      </w:r>
      <w:r w:rsidRPr="002B3460">
        <w:rPr>
          <w:rFonts w:ascii="Montserrat" w:eastAsia="Times New Roman" w:hAnsi="Montserrat" w:cs="Times New Roman"/>
          <w:color w:val="222328"/>
          <w:sz w:val="26"/>
          <w:szCs w:val="26"/>
        </w:rPr>
        <w:t>The BOG’s Governance and Society Engagement Committee worked to develop a new Society Management Tool Kit that was presented at the Leadership Forum and accessible here: </w:t>
      </w:r>
      <w:hyperlink r:id="rId4" w:tgtFrame="_blank" w:history="1">
        <w:r w:rsidRPr="002B3460">
          <w:rPr>
            <w:rFonts w:ascii="Montserrat" w:eastAsia="Times New Roman" w:hAnsi="Montserrat" w:cs="Times New Roman"/>
            <w:color w:val="01828F"/>
            <w:sz w:val="26"/>
            <w:szCs w:val="26"/>
            <w:u w:val="single"/>
          </w:rPr>
          <w:t>https://www.entnet.org/wp-content/uploads/2021/06/StateandLocalSocietyManagementToolkit.pptx.</w:t>
        </w:r>
      </w:hyperlink>
    </w:p>
    <w:p w14:paraId="142F3206" w14:textId="77777777" w:rsidR="002B3460" w:rsidRPr="002B3460" w:rsidRDefault="002B3460" w:rsidP="002B3460">
      <w:pPr>
        <w:shd w:val="clear" w:color="auto" w:fill="FFFFFF"/>
        <w:spacing w:after="100" w:afterAutospacing="1" w:line="240" w:lineRule="auto"/>
        <w:rPr>
          <w:rFonts w:ascii="Montserrat" w:eastAsia="Times New Roman" w:hAnsi="Montserrat" w:cs="Times New Roman"/>
          <w:color w:val="222328"/>
          <w:sz w:val="26"/>
          <w:szCs w:val="26"/>
        </w:rPr>
      </w:pPr>
      <w:r w:rsidRPr="002B3460">
        <w:rPr>
          <w:rFonts w:ascii="Montserrat" w:eastAsia="Times New Roman" w:hAnsi="Montserrat" w:cs="Times New Roman"/>
          <w:color w:val="222328"/>
          <w:sz w:val="26"/>
          <w:szCs w:val="26"/>
        </w:rPr>
        <w:t>The Society Management Tool Kit provides guidance on organization administration and governance principles, legislative and advocacy functions, and planning efforts associated with educational and CME programming. The Society Management Tool Kit joins several other tool kits developed over the past few years aimed at assisting regional and local level BOG entities. </w:t>
      </w:r>
    </w:p>
    <w:p w14:paraId="719ECE38" w14:textId="77777777" w:rsidR="002B3460" w:rsidRPr="002B3460" w:rsidRDefault="002B3460" w:rsidP="002B3460">
      <w:pPr>
        <w:shd w:val="clear" w:color="auto" w:fill="FFFFFF"/>
        <w:spacing w:after="100" w:afterAutospacing="1" w:line="240" w:lineRule="auto"/>
        <w:rPr>
          <w:rFonts w:ascii="Montserrat" w:eastAsia="Times New Roman" w:hAnsi="Montserrat" w:cs="Times New Roman"/>
          <w:color w:val="222328"/>
          <w:sz w:val="26"/>
          <w:szCs w:val="26"/>
        </w:rPr>
      </w:pPr>
      <w:r w:rsidRPr="002B3460">
        <w:rPr>
          <w:rFonts w:ascii="Montserrat" w:eastAsia="Times New Roman" w:hAnsi="Montserrat" w:cs="Times New Roman"/>
          <w:b/>
          <w:bCs/>
          <w:color w:val="222328"/>
          <w:sz w:val="26"/>
          <w:szCs w:val="26"/>
        </w:rPr>
        <w:t>Business of Medicine Strategic Focus.</w:t>
      </w:r>
      <w:r w:rsidRPr="002B3460">
        <w:rPr>
          <w:rFonts w:ascii="Montserrat" w:eastAsia="Times New Roman" w:hAnsi="Montserrat" w:cs="Times New Roman"/>
          <w:color w:val="222328"/>
          <w:sz w:val="26"/>
          <w:szCs w:val="26"/>
        </w:rPr>
        <w:t> The BOG has heavily assisted in the Academy’s increased strategic focus on the Business of Medicine. Recently, a new position was created for the Academy’s Advocacy team that will emphasize Business of Medicine policy development. Additionally, the BOG held discussions with ASCENT leadership on the development of a Business of Medicine curriculum combining the elements of the current ASCENT certification with refinements related to employment negotiation, quality and performance measures, and strategic thinking components. </w:t>
      </w:r>
    </w:p>
    <w:p w14:paraId="745A2377" w14:textId="77777777" w:rsidR="002B3460" w:rsidRPr="002B3460" w:rsidRDefault="002B3460" w:rsidP="002B3460">
      <w:pPr>
        <w:shd w:val="clear" w:color="auto" w:fill="FFFFFF"/>
        <w:spacing w:after="100" w:afterAutospacing="1" w:line="240" w:lineRule="auto"/>
        <w:rPr>
          <w:rFonts w:ascii="Montserrat" w:eastAsia="Times New Roman" w:hAnsi="Montserrat" w:cs="Times New Roman"/>
          <w:color w:val="222328"/>
          <w:sz w:val="26"/>
          <w:szCs w:val="26"/>
        </w:rPr>
      </w:pPr>
      <w:r w:rsidRPr="002B3460">
        <w:rPr>
          <w:rFonts w:ascii="Montserrat" w:eastAsia="Times New Roman" w:hAnsi="Montserrat" w:cs="Times New Roman"/>
          <w:color w:val="222328"/>
          <w:sz w:val="26"/>
          <w:szCs w:val="26"/>
        </w:rPr>
        <w:lastRenderedPageBreak/>
        <w:t>Seamless transitions are also part of good BOG governance. </w:t>
      </w:r>
      <w:r w:rsidRPr="002B3460">
        <w:rPr>
          <w:rFonts w:ascii="Montserrat" w:eastAsia="Times New Roman" w:hAnsi="Montserrat" w:cs="Times New Roman"/>
          <w:b/>
          <w:bCs/>
          <w:color w:val="222328"/>
          <w:sz w:val="26"/>
          <w:szCs w:val="26"/>
        </w:rPr>
        <w:t>Troy D. Woodard, MD,</w:t>
      </w:r>
      <w:r w:rsidRPr="002B3460">
        <w:rPr>
          <w:rFonts w:ascii="Montserrat" w:eastAsia="Times New Roman" w:hAnsi="Montserrat" w:cs="Times New Roman"/>
          <w:color w:val="222328"/>
          <w:sz w:val="26"/>
          <w:szCs w:val="26"/>
        </w:rPr>
        <w:t> took over as the 40th BOG Chair on October 1. Working closely with Troy over the last year, we are all looking forward to his leadership as Chair. </w:t>
      </w:r>
    </w:p>
    <w:p w14:paraId="410F8670" w14:textId="77777777" w:rsidR="002B3460" w:rsidRPr="002B3460" w:rsidRDefault="002B3460" w:rsidP="002B3460">
      <w:pPr>
        <w:shd w:val="clear" w:color="auto" w:fill="FFFFFF"/>
        <w:spacing w:after="100" w:afterAutospacing="1" w:line="240" w:lineRule="auto"/>
        <w:rPr>
          <w:rFonts w:ascii="Montserrat" w:eastAsia="Times New Roman" w:hAnsi="Montserrat" w:cs="Times New Roman"/>
          <w:color w:val="222328"/>
          <w:sz w:val="26"/>
          <w:szCs w:val="26"/>
        </w:rPr>
      </w:pPr>
      <w:r w:rsidRPr="002B3460">
        <w:rPr>
          <w:rFonts w:ascii="Montserrat" w:eastAsia="Times New Roman" w:hAnsi="Montserrat" w:cs="Times New Roman"/>
          <w:color w:val="222328"/>
          <w:sz w:val="26"/>
          <w:szCs w:val="26"/>
        </w:rPr>
        <w:t>The mark of a strong organization is the talent of incoming leaders. Having worked with the professionals in the slate of candidates for several years, I can attest to the BOG’s continuing strength. </w:t>
      </w:r>
    </w:p>
    <w:p w14:paraId="0BA55A6C" w14:textId="77777777" w:rsidR="002B3460" w:rsidRPr="002B3460" w:rsidRDefault="002B3460" w:rsidP="002B3460">
      <w:pPr>
        <w:shd w:val="clear" w:color="auto" w:fill="FFFFFF"/>
        <w:spacing w:after="100" w:afterAutospacing="1" w:line="240" w:lineRule="auto"/>
        <w:rPr>
          <w:rFonts w:ascii="Montserrat" w:eastAsia="Times New Roman" w:hAnsi="Montserrat" w:cs="Times New Roman"/>
          <w:color w:val="222328"/>
          <w:sz w:val="26"/>
          <w:szCs w:val="26"/>
        </w:rPr>
      </w:pPr>
      <w:r w:rsidRPr="002B3460">
        <w:rPr>
          <w:rFonts w:ascii="Montserrat" w:eastAsia="Times New Roman" w:hAnsi="Montserrat" w:cs="Times New Roman"/>
          <w:color w:val="222328"/>
          <w:sz w:val="26"/>
          <w:szCs w:val="26"/>
        </w:rPr>
        <w:t>Thank you again for allowing me to serve all of you as BOG Chair. It was one of the greatest honors of my professional life in otolaryngology. </w:t>
      </w:r>
    </w:p>
    <w:p w14:paraId="71E6B602" w14:textId="77777777" w:rsidR="00484F96" w:rsidRDefault="00484F96"/>
    <w:sectPr w:rsidR="00484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460"/>
    <w:rsid w:val="002B3460"/>
    <w:rsid w:val="00484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44B1"/>
  <w15:chartTrackingRefBased/>
  <w15:docId w15:val="{43AB424F-0CDB-4422-8481-50DAFDEF7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ntnet.org/wp-content/uploads/2021/06/StateandLocalSocietyManagementToolkit.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639</Words>
  <Characters>3646</Characters>
  <Application>Microsoft Office Word</Application>
  <DocSecurity>0</DocSecurity>
  <Lines>30</Lines>
  <Paragraphs>8</Paragraphs>
  <ScaleCrop>false</ScaleCrop>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Stefaniak, Thomas</dc:creator>
  <cp:keywords/>
  <dc:description/>
  <cp:lastModifiedBy>Stefaniak, Thomas</cp:lastModifiedBy>
  <cp:revision>1</cp:revision>
  <dcterms:created xsi:type="dcterms:W3CDTF">2021-10-28T12:29:00Z</dcterms:created>
  <dcterms:modified xsi:type="dcterms:W3CDTF">2021-10-28T12:31:00Z</dcterms:modified>
</cp:coreProperties>
</file>